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4F3" w:rsidRDefault="00126D33">
      <w:pPr>
        <w:adjustRightInd w:val="0"/>
        <w:snapToGrid w:val="0"/>
        <w:spacing w:before="60" w:line="480" w:lineRule="exact"/>
        <w:jc w:val="center"/>
        <w:outlineLvl w:val="0"/>
        <w:rPr>
          <w:rFonts w:ascii="Times New Roman" w:eastAsiaTheme="minorEastAsia" w:hAnsi="Times New Roman"/>
          <w:b/>
          <w:bCs/>
          <w:sz w:val="28"/>
          <w:szCs w:val="32"/>
        </w:rPr>
      </w:pPr>
      <w:r>
        <w:rPr>
          <w:rFonts w:ascii="Times New Roman" w:eastAsiaTheme="minorEastAsia" w:hAnsi="Times New Roman" w:hint="eastAsia"/>
          <w:b/>
          <w:bCs/>
          <w:sz w:val="28"/>
          <w:szCs w:val="32"/>
        </w:rPr>
        <w:t>江苏</w:t>
      </w:r>
      <w:r w:rsidR="00F33540" w:rsidRPr="00F33540">
        <w:rPr>
          <w:rFonts w:ascii="宋体" w:eastAsia="宋体" w:hAnsi="宋体" w:hint="eastAsia"/>
          <w:b/>
          <w:bCs/>
          <w:snapToGrid w:val="0"/>
          <w:kern w:val="0"/>
          <w:sz w:val="28"/>
          <w:szCs w:val="28"/>
        </w:rPr>
        <w:t>容正医药科技有限公司杜邦Tyvek湿热灭菌袋生产加工项目</w:t>
      </w:r>
    </w:p>
    <w:p w:rsidR="00C414F3" w:rsidRDefault="000D0CC1">
      <w:pPr>
        <w:adjustRightInd w:val="0"/>
        <w:snapToGrid w:val="0"/>
        <w:spacing w:before="60" w:line="480" w:lineRule="exact"/>
        <w:jc w:val="center"/>
        <w:outlineLvl w:val="0"/>
        <w:rPr>
          <w:rFonts w:ascii="Times New Roman" w:eastAsiaTheme="minorEastAsia" w:hAnsi="Times New Roman"/>
          <w:b/>
          <w:bCs/>
          <w:sz w:val="28"/>
          <w:szCs w:val="32"/>
        </w:rPr>
      </w:pPr>
      <w:r>
        <w:rPr>
          <w:rFonts w:ascii="Times New Roman" w:eastAsiaTheme="minorEastAsia" w:hAnsi="Times New Roman"/>
          <w:b/>
          <w:bCs/>
          <w:sz w:val="28"/>
          <w:szCs w:val="32"/>
        </w:rPr>
        <w:t>竣工环境保护验收意见</w:t>
      </w:r>
    </w:p>
    <w:p w:rsidR="00C414F3" w:rsidRDefault="000D0CC1">
      <w:pPr>
        <w:adjustRightInd w:val="0"/>
        <w:snapToGrid w:val="0"/>
        <w:spacing w:before="60" w:line="500" w:lineRule="exact"/>
        <w:ind w:firstLineChars="200" w:firstLine="508"/>
        <w:rPr>
          <w:rFonts w:ascii="Times New Roman" w:eastAsia="宋体" w:hAnsi="Times New Roman"/>
          <w:sz w:val="24"/>
          <w:szCs w:val="24"/>
        </w:rPr>
      </w:pPr>
      <w:r w:rsidRPr="00076B34">
        <w:rPr>
          <w:rFonts w:ascii="Times New Roman" w:eastAsia="宋体" w:hAnsi="Times New Roman"/>
          <w:spacing w:val="7"/>
          <w:kern w:val="0"/>
          <w:sz w:val="24"/>
          <w:szCs w:val="24"/>
        </w:rPr>
        <w:t>20</w:t>
      </w:r>
      <w:r w:rsidR="00647D22">
        <w:rPr>
          <w:rFonts w:ascii="Times New Roman" w:eastAsia="宋体" w:hAnsi="Times New Roman"/>
          <w:spacing w:val="7"/>
          <w:kern w:val="0"/>
          <w:sz w:val="24"/>
          <w:szCs w:val="24"/>
        </w:rPr>
        <w:t>19</w:t>
      </w:r>
      <w:r w:rsidRPr="00076B34">
        <w:rPr>
          <w:rFonts w:ascii="Times New Roman" w:eastAsia="宋体" w:hAnsi="Times New Roman"/>
          <w:spacing w:val="7"/>
          <w:kern w:val="0"/>
          <w:sz w:val="24"/>
          <w:szCs w:val="24"/>
        </w:rPr>
        <w:t>年</w:t>
      </w:r>
      <w:r w:rsidR="00647D22">
        <w:rPr>
          <w:rFonts w:ascii="Times New Roman" w:eastAsia="宋体" w:hAnsi="Times New Roman"/>
          <w:spacing w:val="7"/>
          <w:kern w:val="0"/>
          <w:sz w:val="24"/>
          <w:szCs w:val="24"/>
        </w:rPr>
        <w:t>10</w:t>
      </w:r>
      <w:r w:rsidRPr="00076B34">
        <w:rPr>
          <w:rFonts w:ascii="Times New Roman" w:eastAsia="宋体" w:hAnsi="Times New Roman"/>
          <w:spacing w:val="7"/>
          <w:kern w:val="0"/>
          <w:sz w:val="24"/>
          <w:szCs w:val="24"/>
        </w:rPr>
        <w:t>月</w:t>
      </w:r>
      <w:r w:rsidR="00647D22">
        <w:rPr>
          <w:rFonts w:ascii="Times New Roman" w:eastAsia="宋体" w:hAnsi="Times New Roman"/>
          <w:spacing w:val="7"/>
          <w:kern w:val="0"/>
          <w:sz w:val="24"/>
          <w:szCs w:val="24"/>
        </w:rPr>
        <w:t>30</w:t>
      </w:r>
      <w:r w:rsidRPr="00076B34">
        <w:rPr>
          <w:rFonts w:ascii="Times New Roman" w:eastAsia="宋体" w:hAnsi="Times New Roman"/>
          <w:spacing w:val="7"/>
          <w:kern w:val="0"/>
          <w:sz w:val="24"/>
          <w:szCs w:val="24"/>
        </w:rPr>
        <w:t>日</w:t>
      </w:r>
      <w:r w:rsidRPr="00076B34">
        <w:rPr>
          <w:rFonts w:ascii="Times New Roman" w:eastAsia="宋体" w:hAnsi="Times New Roman"/>
          <w:sz w:val="24"/>
          <w:szCs w:val="24"/>
        </w:rPr>
        <w:t>，</w:t>
      </w:r>
      <w:r w:rsidR="00126D33">
        <w:rPr>
          <w:rFonts w:ascii="Times New Roman" w:eastAsia="宋体" w:hAnsi="Times New Roman" w:hint="eastAsia"/>
          <w:sz w:val="24"/>
          <w:szCs w:val="24"/>
        </w:rPr>
        <w:t>江苏</w:t>
      </w:r>
      <w:r w:rsidR="00F33540" w:rsidRPr="00F33540">
        <w:rPr>
          <w:rFonts w:ascii="宋体" w:eastAsia="宋体" w:hAnsi="宋体" w:hint="eastAsia"/>
          <w:snapToGrid w:val="0"/>
          <w:kern w:val="0"/>
          <w:sz w:val="24"/>
          <w:szCs w:val="24"/>
        </w:rPr>
        <w:t>容正医药科技有限公司</w:t>
      </w:r>
      <w:r>
        <w:rPr>
          <w:rFonts w:ascii="Times New Roman" w:eastAsia="宋体" w:hAnsi="Times New Roman"/>
          <w:sz w:val="24"/>
          <w:szCs w:val="24"/>
        </w:rPr>
        <w:t>根据《建设项目环境保护管理条例》组织召开了</w:t>
      </w:r>
      <w:r w:rsidR="00F33540" w:rsidRPr="00F33540">
        <w:rPr>
          <w:rFonts w:asciiTheme="minorEastAsia" w:eastAsiaTheme="minorEastAsia" w:hAnsiTheme="minorEastAsia" w:hint="eastAsia"/>
          <w:snapToGrid w:val="0"/>
          <w:kern w:val="0"/>
          <w:sz w:val="24"/>
          <w:szCs w:val="24"/>
        </w:rPr>
        <w:t>江苏容正医药科技有限公司杜邦Tyvek湿热灭菌袋生产加工项目</w:t>
      </w:r>
      <w:r>
        <w:rPr>
          <w:rFonts w:ascii="Times New Roman" w:eastAsia="宋体" w:hAnsi="Times New Roman"/>
          <w:sz w:val="24"/>
          <w:szCs w:val="24"/>
        </w:rPr>
        <w:t>竣工环境保护验收会。验收工作组由建设单位（</w:t>
      </w:r>
      <w:r w:rsidR="00F33540">
        <w:rPr>
          <w:rFonts w:ascii="Times New Roman" w:eastAsia="宋体" w:hAnsi="Times New Roman" w:hint="eastAsia"/>
          <w:sz w:val="24"/>
          <w:szCs w:val="24"/>
        </w:rPr>
        <w:t>江苏</w:t>
      </w:r>
      <w:r w:rsidR="00F33540" w:rsidRPr="00F33540">
        <w:rPr>
          <w:rFonts w:ascii="宋体" w:eastAsia="宋体" w:hAnsi="宋体" w:hint="eastAsia"/>
          <w:snapToGrid w:val="0"/>
          <w:kern w:val="0"/>
          <w:sz w:val="24"/>
          <w:szCs w:val="24"/>
        </w:rPr>
        <w:t>容正医药科技有限公司</w:t>
      </w:r>
      <w:r>
        <w:rPr>
          <w:rFonts w:ascii="Times New Roman" w:eastAsia="宋体" w:hAnsi="Times New Roman"/>
          <w:sz w:val="24"/>
          <w:szCs w:val="24"/>
        </w:rPr>
        <w:t>）、验收报告编制单位（</w:t>
      </w:r>
      <w:r w:rsidR="000A7B2F" w:rsidRPr="000A7B2F">
        <w:rPr>
          <w:rFonts w:ascii="Times New Roman" w:eastAsia="宋体" w:hAnsi="Times New Roman" w:hint="eastAsia"/>
          <w:sz w:val="24"/>
          <w:szCs w:val="24"/>
        </w:rPr>
        <w:t>江苏华睿巨辉环境检测有限公司</w:t>
      </w:r>
      <w:r>
        <w:rPr>
          <w:rFonts w:ascii="Times New Roman" w:eastAsia="宋体" w:hAnsi="Times New Roman"/>
          <w:sz w:val="24"/>
          <w:szCs w:val="24"/>
        </w:rPr>
        <w:t>）的代表及</w:t>
      </w:r>
      <w:r w:rsidR="00076B34">
        <w:rPr>
          <w:rFonts w:ascii="Times New Roman" w:eastAsia="宋体" w:hAnsi="Times New Roman"/>
          <w:sz w:val="24"/>
          <w:szCs w:val="24"/>
        </w:rPr>
        <w:t>2</w:t>
      </w:r>
      <w:r>
        <w:rPr>
          <w:rFonts w:ascii="Times New Roman" w:eastAsia="宋体" w:hAnsi="Times New Roman"/>
          <w:sz w:val="24"/>
          <w:szCs w:val="24"/>
        </w:rPr>
        <w:t>名特邀专家（名单附后）组成。验收组现场查看并核实了项目建设运营期配套环境保护设施的建设和运行情况，会议期间听取了对项目基本情况和验收监测报告的介绍，审阅了相关材料，经认真研究讨论，形成如下验收意见：</w:t>
      </w:r>
    </w:p>
    <w:p w:rsidR="00C414F3" w:rsidRDefault="000D0CC1">
      <w:pPr>
        <w:adjustRightInd w:val="0"/>
        <w:snapToGrid w:val="0"/>
        <w:spacing w:line="480" w:lineRule="exact"/>
        <w:ind w:firstLine="561"/>
        <w:outlineLvl w:val="0"/>
        <w:rPr>
          <w:rFonts w:ascii="Times New Roman" w:eastAsiaTheme="minorEastAsia" w:hAnsi="Times New Roman"/>
          <w:b/>
          <w:sz w:val="24"/>
          <w:szCs w:val="28"/>
        </w:rPr>
      </w:pPr>
      <w:r>
        <w:rPr>
          <w:rFonts w:ascii="Times New Roman" w:eastAsiaTheme="minorEastAsia" w:hAnsi="Times New Roman"/>
          <w:b/>
          <w:sz w:val="24"/>
          <w:szCs w:val="28"/>
        </w:rPr>
        <w:t>一、工程建设基本情况</w:t>
      </w:r>
    </w:p>
    <w:p w:rsidR="00C414F3" w:rsidRPr="00126D33" w:rsidRDefault="000D0CC1" w:rsidP="00F33540">
      <w:pPr>
        <w:spacing w:line="360" w:lineRule="auto"/>
        <w:ind w:firstLineChars="200" w:firstLine="480"/>
        <w:jc w:val="left"/>
        <w:rPr>
          <w:rFonts w:ascii="宋体" w:eastAsia="宋体" w:hAnsi="宋体"/>
          <w:sz w:val="24"/>
          <w:szCs w:val="20"/>
        </w:rPr>
      </w:pPr>
      <w:r w:rsidRPr="00126D33">
        <w:rPr>
          <w:rFonts w:ascii="宋体" w:eastAsia="宋体" w:hAnsi="宋体"/>
          <w:sz w:val="24"/>
          <w:szCs w:val="20"/>
        </w:rPr>
        <w:t>1、项目基本情况</w:t>
      </w:r>
    </w:p>
    <w:p w:rsidR="000A7B2F" w:rsidRPr="00126D33" w:rsidRDefault="00F33540" w:rsidP="00F33540">
      <w:pPr>
        <w:spacing w:line="360" w:lineRule="auto"/>
        <w:ind w:firstLineChars="200" w:firstLine="480"/>
        <w:jc w:val="left"/>
        <w:rPr>
          <w:rFonts w:ascii="宋体" w:eastAsia="宋体" w:hAnsi="宋体"/>
          <w:sz w:val="24"/>
          <w:szCs w:val="20"/>
        </w:rPr>
      </w:pPr>
      <w:r w:rsidRPr="00F33540">
        <w:rPr>
          <w:rFonts w:ascii="宋体" w:eastAsia="宋体" w:hAnsi="宋体" w:hint="eastAsia"/>
          <w:bCs/>
          <w:sz w:val="24"/>
          <w:szCs w:val="24"/>
        </w:rPr>
        <w:t>江苏容正医药科技有限公司成立于2</w:t>
      </w:r>
      <w:r w:rsidRPr="00F33540">
        <w:rPr>
          <w:rFonts w:ascii="宋体" w:eastAsia="宋体" w:hAnsi="宋体"/>
          <w:bCs/>
          <w:sz w:val="24"/>
          <w:szCs w:val="24"/>
        </w:rPr>
        <w:t>013</w:t>
      </w:r>
      <w:r w:rsidRPr="00F33540">
        <w:rPr>
          <w:rFonts w:ascii="宋体" w:eastAsia="宋体" w:hAnsi="宋体" w:hint="eastAsia"/>
          <w:bCs/>
          <w:sz w:val="24"/>
          <w:szCs w:val="24"/>
        </w:rPr>
        <w:t>年</w:t>
      </w:r>
      <w:r w:rsidRPr="00F33540">
        <w:rPr>
          <w:rFonts w:ascii="宋体" w:eastAsia="宋体" w:hAnsi="宋体"/>
          <w:bCs/>
          <w:sz w:val="24"/>
          <w:szCs w:val="24"/>
        </w:rPr>
        <w:t>11</w:t>
      </w:r>
      <w:r w:rsidRPr="00F33540">
        <w:rPr>
          <w:rFonts w:ascii="宋体" w:eastAsia="宋体" w:hAnsi="宋体" w:hint="eastAsia"/>
          <w:bCs/>
          <w:sz w:val="24"/>
          <w:szCs w:val="24"/>
        </w:rPr>
        <w:t>月</w:t>
      </w:r>
      <w:r w:rsidRPr="00F33540">
        <w:rPr>
          <w:rFonts w:ascii="宋体" w:eastAsia="宋体" w:hAnsi="宋体"/>
          <w:bCs/>
          <w:sz w:val="24"/>
          <w:szCs w:val="24"/>
        </w:rPr>
        <w:t>13</w:t>
      </w:r>
      <w:r w:rsidRPr="00F33540">
        <w:rPr>
          <w:rFonts w:ascii="宋体" w:eastAsia="宋体" w:hAnsi="宋体" w:hint="eastAsia"/>
          <w:bCs/>
          <w:sz w:val="24"/>
          <w:szCs w:val="24"/>
        </w:rPr>
        <w:t>日，注册资本</w:t>
      </w:r>
      <w:r w:rsidRPr="00F33540">
        <w:rPr>
          <w:rFonts w:ascii="宋体" w:eastAsia="宋体" w:hAnsi="宋体"/>
          <w:bCs/>
          <w:sz w:val="24"/>
          <w:szCs w:val="24"/>
        </w:rPr>
        <w:t>1000</w:t>
      </w:r>
      <w:r w:rsidRPr="00F33540">
        <w:rPr>
          <w:rFonts w:ascii="宋体" w:eastAsia="宋体" w:hAnsi="宋体" w:hint="eastAsia"/>
          <w:bCs/>
          <w:sz w:val="24"/>
          <w:szCs w:val="24"/>
        </w:rPr>
        <w:t>万元整，公司地址位于南京市江北新区智能制造产业园（中山社区）科创大道9号D</w:t>
      </w:r>
      <w:r w:rsidRPr="00F33540">
        <w:rPr>
          <w:rFonts w:ascii="宋体" w:eastAsia="宋体" w:hAnsi="宋体"/>
          <w:bCs/>
          <w:sz w:val="24"/>
          <w:szCs w:val="24"/>
        </w:rPr>
        <w:t>8</w:t>
      </w:r>
      <w:r w:rsidRPr="00F33540">
        <w:rPr>
          <w:rFonts w:ascii="宋体" w:eastAsia="宋体" w:hAnsi="宋体" w:hint="eastAsia"/>
          <w:bCs/>
          <w:sz w:val="24"/>
          <w:szCs w:val="24"/>
        </w:rPr>
        <w:t>栋。</w:t>
      </w:r>
      <w:r w:rsidR="000A7B2F" w:rsidRPr="00126D33">
        <w:rPr>
          <w:rFonts w:ascii="宋体" w:eastAsia="宋体" w:hAnsi="宋体"/>
          <w:sz w:val="24"/>
          <w:szCs w:val="20"/>
        </w:rPr>
        <w:t>（</w:t>
      </w:r>
      <w:r>
        <w:rPr>
          <w:rFonts w:ascii="宋体" w:eastAsia="宋体" w:hAnsi="宋体" w:hint="eastAsia"/>
          <w:sz w:val="24"/>
          <w:szCs w:val="20"/>
        </w:rPr>
        <w:t>经度：1</w:t>
      </w:r>
      <w:r>
        <w:rPr>
          <w:rFonts w:ascii="宋体" w:eastAsia="宋体" w:hAnsi="宋体"/>
          <w:sz w:val="24"/>
          <w:szCs w:val="20"/>
        </w:rPr>
        <w:t>18.696792</w:t>
      </w:r>
      <w:r>
        <w:rPr>
          <w:rFonts w:ascii="宋体" w:eastAsia="宋体" w:hAnsi="宋体" w:hint="eastAsia"/>
          <w:sz w:val="24"/>
          <w:szCs w:val="20"/>
        </w:rPr>
        <w:t>，纬度：3</w:t>
      </w:r>
      <w:r>
        <w:rPr>
          <w:rFonts w:ascii="宋体" w:eastAsia="宋体" w:hAnsi="宋体"/>
          <w:sz w:val="24"/>
          <w:szCs w:val="20"/>
        </w:rPr>
        <w:t>2.263459</w:t>
      </w:r>
      <w:r w:rsidR="000A7B2F" w:rsidRPr="00126D33">
        <w:rPr>
          <w:rFonts w:ascii="宋体" w:eastAsia="宋体" w:hAnsi="宋体"/>
          <w:sz w:val="24"/>
          <w:szCs w:val="20"/>
        </w:rPr>
        <w:t>）</w:t>
      </w:r>
      <w:r w:rsidR="000A7B2F" w:rsidRPr="00126D33">
        <w:rPr>
          <w:rFonts w:ascii="宋体" w:eastAsia="宋体" w:hAnsi="宋体" w:hint="eastAsia"/>
          <w:sz w:val="24"/>
          <w:szCs w:val="20"/>
        </w:rPr>
        <w:t>。</w:t>
      </w:r>
    </w:p>
    <w:p w:rsidR="00F33540" w:rsidRPr="00F33540" w:rsidRDefault="000D0CC1" w:rsidP="00F33540">
      <w:pPr>
        <w:adjustRightInd w:val="0"/>
        <w:snapToGrid w:val="0"/>
        <w:spacing w:line="360" w:lineRule="auto"/>
        <w:ind w:firstLineChars="200" w:firstLine="480"/>
        <w:jc w:val="left"/>
        <w:rPr>
          <w:rFonts w:ascii="宋体" w:eastAsia="宋体" w:hAnsi="宋体"/>
          <w:sz w:val="24"/>
        </w:rPr>
      </w:pPr>
      <w:r w:rsidRPr="00126D33">
        <w:rPr>
          <w:rFonts w:ascii="宋体" w:eastAsia="宋体" w:hAnsi="宋体" w:hint="eastAsia"/>
          <w:sz w:val="24"/>
          <w:szCs w:val="20"/>
        </w:rPr>
        <w:t>建设项目</w:t>
      </w:r>
      <w:r w:rsidR="000A7B2F" w:rsidRPr="000A7B2F">
        <w:rPr>
          <w:rFonts w:ascii="宋体" w:eastAsia="宋体" w:hAnsi="宋体"/>
          <w:sz w:val="24"/>
          <w:szCs w:val="20"/>
        </w:rPr>
        <w:t>于20</w:t>
      </w:r>
      <w:r w:rsidR="00F33540">
        <w:rPr>
          <w:rFonts w:ascii="宋体" w:eastAsia="宋体" w:hAnsi="宋体"/>
          <w:sz w:val="24"/>
          <w:szCs w:val="20"/>
        </w:rPr>
        <w:t>19</w:t>
      </w:r>
      <w:r w:rsidR="000A7B2F" w:rsidRPr="000A7B2F">
        <w:rPr>
          <w:rFonts w:ascii="宋体" w:eastAsia="宋体" w:hAnsi="宋体"/>
          <w:sz w:val="24"/>
          <w:szCs w:val="20"/>
        </w:rPr>
        <w:t>年</w:t>
      </w:r>
      <w:r w:rsidR="00F33540">
        <w:rPr>
          <w:rFonts w:ascii="宋体" w:eastAsia="宋体" w:hAnsi="宋体"/>
          <w:sz w:val="24"/>
          <w:szCs w:val="20"/>
        </w:rPr>
        <w:t>4</w:t>
      </w:r>
      <w:r w:rsidR="000A7B2F" w:rsidRPr="000A7B2F">
        <w:rPr>
          <w:rFonts w:ascii="宋体" w:eastAsia="宋体" w:hAnsi="宋体"/>
          <w:sz w:val="24"/>
          <w:szCs w:val="20"/>
        </w:rPr>
        <w:t>月委托</w:t>
      </w:r>
      <w:r w:rsidR="00361B92" w:rsidRPr="00361B92">
        <w:rPr>
          <w:rFonts w:ascii="宋体" w:eastAsia="宋体" w:hAnsi="宋体"/>
          <w:sz w:val="24"/>
          <w:szCs w:val="20"/>
        </w:rPr>
        <w:t>江苏</w:t>
      </w:r>
      <w:r w:rsidR="00361B92" w:rsidRPr="00361B92">
        <w:rPr>
          <w:rFonts w:ascii="宋体" w:eastAsia="宋体" w:hAnsi="宋体" w:hint="eastAsia"/>
          <w:sz w:val="24"/>
          <w:szCs w:val="20"/>
        </w:rPr>
        <w:t>新清源环保有限</w:t>
      </w:r>
      <w:r w:rsidR="00361B92" w:rsidRPr="00361B92">
        <w:rPr>
          <w:rFonts w:ascii="宋体" w:eastAsia="宋体" w:hAnsi="宋体"/>
          <w:sz w:val="24"/>
          <w:szCs w:val="20"/>
        </w:rPr>
        <w:t>公司</w:t>
      </w:r>
      <w:r w:rsidR="000A7B2F" w:rsidRPr="000A7B2F">
        <w:rPr>
          <w:rFonts w:ascii="宋体" w:eastAsia="宋体" w:hAnsi="宋体"/>
          <w:sz w:val="24"/>
          <w:szCs w:val="20"/>
        </w:rPr>
        <w:t>编制</w:t>
      </w:r>
      <w:r w:rsidR="000A7B2F" w:rsidRPr="00F33540">
        <w:rPr>
          <w:rFonts w:ascii="宋体" w:eastAsia="宋体" w:hAnsi="宋体"/>
          <w:sz w:val="24"/>
          <w:szCs w:val="24"/>
        </w:rPr>
        <w:t>了</w:t>
      </w:r>
      <w:r w:rsidR="00F33540" w:rsidRPr="00F33540">
        <w:rPr>
          <w:rFonts w:ascii="宋体" w:eastAsia="宋体" w:hAnsi="宋体" w:hint="eastAsia"/>
          <w:sz w:val="24"/>
          <w:szCs w:val="24"/>
        </w:rPr>
        <w:t>《</w:t>
      </w:r>
      <w:r w:rsidR="00F33540" w:rsidRPr="00F33540">
        <w:rPr>
          <w:rFonts w:ascii="宋体" w:eastAsia="宋体" w:hAnsi="宋体" w:hint="eastAsia"/>
          <w:snapToGrid w:val="0"/>
          <w:sz w:val="24"/>
          <w:szCs w:val="24"/>
        </w:rPr>
        <w:t>江苏容正医药科技有限公司杜邦Tyvek湿热灭菌袋生产加工项目</w:t>
      </w:r>
      <w:r w:rsidR="00F33540" w:rsidRPr="00F33540">
        <w:rPr>
          <w:rFonts w:ascii="宋体" w:eastAsia="宋体" w:hAnsi="宋体"/>
          <w:sz w:val="24"/>
          <w:szCs w:val="24"/>
        </w:rPr>
        <w:t>环境影响</w:t>
      </w:r>
      <w:r w:rsidR="00F33540" w:rsidRPr="00F33540">
        <w:rPr>
          <w:rFonts w:ascii="宋体" w:eastAsia="宋体" w:hAnsi="宋体" w:hint="eastAsia"/>
          <w:sz w:val="24"/>
          <w:szCs w:val="24"/>
        </w:rPr>
        <w:t>报告表》</w:t>
      </w:r>
      <w:r w:rsidR="000A7B2F" w:rsidRPr="000A7B2F">
        <w:rPr>
          <w:rFonts w:ascii="宋体" w:eastAsia="宋体" w:hAnsi="宋体"/>
          <w:sz w:val="24"/>
          <w:szCs w:val="20"/>
        </w:rPr>
        <w:t>，该《报告表》于2019年</w:t>
      </w:r>
      <w:r w:rsidR="00F33540">
        <w:rPr>
          <w:rFonts w:ascii="宋体" w:eastAsia="宋体" w:hAnsi="宋体"/>
          <w:sz w:val="24"/>
          <w:szCs w:val="20"/>
        </w:rPr>
        <w:t>4</w:t>
      </w:r>
      <w:r w:rsidR="000A7B2F" w:rsidRPr="000A7B2F">
        <w:rPr>
          <w:rFonts w:ascii="宋体" w:eastAsia="宋体" w:hAnsi="宋体"/>
          <w:sz w:val="24"/>
          <w:szCs w:val="20"/>
        </w:rPr>
        <w:t>月编制完成，2019年</w:t>
      </w:r>
      <w:r w:rsidR="00F33540">
        <w:rPr>
          <w:rFonts w:ascii="宋体" w:eastAsia="宋体" w:hAnsi="宋体"/>
          <w:sz w:val="24"/>
          <w:szCs w:val="20"/>
        </w:rPr>
        <w:t>8</w:t>
      </w:r>
      <w:r w:rsidR="000A7B2F" w:rsidRPr="000A7B2F">
        <w:rPr>
          <w:rFonts w:ascii="宋体" w:eastAsia="宋体" w:hAnsi="宋体"/>
          <w:sz w:val="24"/>
          <w:szCs w:val="20"/>
        </w:rPr>
        <w:t>月</w:t>
      </w:r>
      <w:r w:rsidR="00F33540">
        <w:rPr>
          <w:rFonts w:ascii="宋体" w:eastAsia="宋体" w:hAnsi="宋体"/>
          <w:sz w:val="24"/>
          <w:szCs w:val="20"/>
        </w:rPr>
        <w:t>9</w:t>
      </w:r>
      <w:r w:rsidR="000A7B2F" w:rsidRPr="000A7B2F">
        <w:rPr>
          <w:rFonts w:ascii="宋体" w:eastAsia="宋体" w:hAnsi="宋体"/>
          <w:sz w:val="24"/>
          <w:szCs w:val="20"/>
        </w:rPr>
        <w:t>日</w:t>
      </w:r>
      <w:r w:rsidR="000A7B2F" w:rsidRPr="000A7B2F">
        <w:rPr>
          <w:rFonts w:ascii="宋体" w:eastAsia="宋体" w:hAnsi="宋体" w:hint="eastAsia"/>
          <w:sz w:val="24"/>
          <w:szCs w:val="20"/>
        </w:rPr>
        <w:t>取</w:t>
      </w:r>
      <w:r w:rsidR="000A7B2F" w:rsidRPr="000A7B2F">
        <w:rPr>
          <w:rFonts w:ascii="宋体" w:eastAsia="宋体" w:hAnsi="宋体"/>
          <w:sz w:val="24"/>
          <w:szCs w:val="20"/>
        </w:rPr>
        <w:t>得</w:t>
      </w:r>
      <w:r w:rsidR="005C0C7A">
        <w:rPr>
          <w:rFonts w:ascii="宋体" w:eastAsia="宋体" w:hAnsi="宋体" w:hint="eastAsia"/>
          <w:sz w:val="24"/>
          <w:szCs w:val="20"/>
        </w:rPr>
        <w:t>南京市江北新区管委会行政审批局</w:t>
      </w:r>
      <w:r w:rsidR="00F33540" w:rsidRPr="00F33540">
        <w:rPr>
          <w:rFonts w:ascii="宋体" w:eastAsia="宋体" w:hAnsi="宋体" w:hint="eastAsia"/>
          <w:sz w:val="24"/>
        </w:rPr>
        <w:t>《关于</w:t>
      </w:r>
      <w:r w:rsidR="00F33540" w:rsidRPr="00F33540">
        <w:rPr>
          <w:rFonts w:ascii="宋体" w:eastAsia="宋体" w:hAnsi="宋体" w:hint="eastAsia"/>
          <w:snapToGrid w:val="0"/>
          <w:kern w:val="0"/>
          <w:sz w:val="24"/>
          <w:szCs w:val="24"/>
        </w:rPr>
        <w:t>江苏容正医药科技有限公司杜邦Tyvek湿热灭菌袋生产加工项目</w:t>
      </w:r>
      <w:r w:rsidR="00F33540" w:rsidRPr="00F33540">
        <w:rPr>
          <w:rFonts w:ascii="宋体" w:eastAsia="宋体" w:hAnsi="宋体"/>
          <w:bCs/>
          <w:sz w:val="24"/>
        </w:rPr>
        <w:t>环境影响</w:t>
      </w:r>
      <w:r w:rsidR="00F33540" w:rsidRPr="00F33540">
        <w:rPr>
          <w:rFonts w:ascii="宋体" w:eastAsia="宋体" w:hAnsi="宋体" w:hint="eastAsia"/>
          <w:bCs/>
          <w:sz w:val="24"/>
        </w:rPr>
        <w:t>报告表</w:t>
      </w:r>
      <w:r w:rsidR="00F33540" w:rsidRPr="00F33540">
        <w:rPr>
          <w:rFonts w:ascii="宋体" w:eastAsia="宋体" w:hAnsi="宋体" w:hint="eastAsia"/>
          <w:sz w:val="24"/>
        </w:rPr>
        <w:t>的批复》（</w:t>
      </w:r>
      <w:r w:rsidR="00F33540" w:rsidRPr="00F33540">
        <w:rPr>
          <w:rFonts w:ascii="宋体" w:eastAsia="宋体" w:hAnsi="宋体" w:hint="eastAsia"/>
          <w:bCs/>
          <w:sz w:val="24"/>
        </w:rPr>
        <w:t>南京江北新区管理委员会行政审批局</w:t>
      </w:r>
      <w:r w:rsidR="00F33540" w:rsidRPr="00F33540">
        <w:rPr>
          <w:rFonts w:ascii="宋体" w:eastAsia="宋体" w:hAnsi="宋体" w:hint="eastAsia"/>
          <w:sz w:val="24"/>
        </w:rPr>
        <w:t>，宁新区管审环表复</w:t>
      </w:r>
      <w:r w:rsidR="00F33540" w:rsidRPr="00F33540">
        <w:rPr>
          <w:rFonts w:ascii="宋体" w:eastAsia="宋体" w:hAnsi="宋体"/>
          <w:sz w:val="24"/>
        </w:rPr>
        <w:t>[</w:t>
      </w:r>
      <w:r w:rsidR="00F33540" w:rsidRPr="00F33540">
        <w:rPr>
          <w:rFonts w:ascii="宋体" w:eastAsia="宋体" w:hAnsi="宋体" w:hint="eastAsia"/>
          <w:sz w:val="24"/>
        </w:rPr>
        <w:t>201</w:t>
      </w:r>
      <w:r w:rsidR="00F33540" w:rsidRPr="00F33540">
        <w:rPr>
          <w:rFonts w:ascii="宋体" w:eastAsia="宋体" w:hAnsi="宋体"/>
          <w:sz w:val="24"/>
        </w:rPr>
        <w:t>9]</w:t>
      </w:r>
      <w:r w:rsidR="00F33540" w:rsidRPr="00F33540">
        <w:rPr>
          <w:rFonts w:ascii="宋体" w:eastAsia="宋体" w:hAnsi="宋体" w:hint="eastAsia"/>
          <w:sz w:val="24"/>
        </w:rPr>
        <w:t xml:space="preserve"> </w:t>
      </w:r>
      <w:r w:rsidR="00F33540" w:rsidRPr="00F33540">
        <w:rPr>
          <w:rFonts w:ascii="宋体" w:eastAsia="宋体" w:hAnsi="宋体"/>
          <w:sz w:val="24"/>
        </w:rPr>
        <w:t>100</w:t>
      </w:r>
      <w:r w:rsidR="00F33540" w:rsidRPr="00F33540">
        <w:rPr>
          <w:rFonts w:ascii="宋体" w:eastAsia="宋体" w:hAnsi="宋体" w:hint="eastAsia"/>
          <w:sz w:val="24"/>
        </w:rPr>
        <w:t>号，</w:t>
      </w:r>
      <w:r w:rsidR="00F33540" w:rsidRPr="00F33540">
        <w:rPr>
          <w:rFonts w:ascii="宋体" w:eastAsia="宋体" w:hAnsi="宋体"/>
          <w:sz w:val="24"/>
        </w:rPr>
        <w:t>2019年8月9日</w:t>
      </w:r>
      <w:r w:rsidR="00F33540" w:rsidRPr="00F33540">
        <w:rPr>
          <w:rFonts w:ascii="宋体" w:eastAsia="宋体" w:hAnsi="宋体" w:hint="eastAsia"/>
          <w:sz w:val="24"/>
        </w:rPr>
        <w:t>）</w:t>
      </w:r>
    </w:p>
    <w:p w:rsidR="000A7B2F" w:rsidRPr="000A7B2F" w:rsidRDefault="000D0CC1" w:rsidP="00F33540">
      <w:pPr>
        <w:spacing w:line="500" w:lineRule="exact"/>
        <w:ind w:firstLineChars="200" w:firstLine="480"/>
        <w:rPr>
          <w:rFonts w:ascii="Times New Roman" w:eastAsia="宋体" w:hAnsi="Times New Roman"/>
          <w:caps/>
          <w:sz w:val="24"/>
        </w:rPr>
      </w:pPr>
      <w:r>
        <w:rPr>
          <w:rFonts w:ascii="Times New Roman" w:eastAsia="宋体" w:hAnsi="Times New Roman"/>
          <w:caps/>
          <w:sz w:val="24"/>
        </w:rPr>
        <w:t>项目环评预估劳动</w:t>
      </w:r>
      <w:r w:rsidR="000A7B2F" w:rsidRPr="000A7B2F">
        <w:rPr>
          <w:rFonts w:ascii="Times New Roman" w:eastAsia="宋体" w:hAnsi="Times New Roman"/>
          <w:caps/>
          <w:sz w:val="24"/>
        </w:rPr>
        <w:t>定员</w:t>
      </w:r>
      <w:r w:rsidR="00F33540">
        <w:rPr>
          <w:rFonts w:ascii="Times New Roman" w:eastAsia="宋体" w:hAnsi="Times New Roman"/>
          <w:caps/>
          <w:sz w:val="24"/>
        </w:rPr>
        <w:t>15</w:t>
      </w:r>
      <w:r w:rsidR="000A7B2F" w:rsidRPr="000A7B2F">
        <w:rPr>
          <w:rFonts w:ascii="Times New Roman" w:eastAsia="宋体" w:hAnsi="Times New Roman"/>
          <w:caps/>
          <w:sz w:val="24"/>
        </w:rPr>
        <w:t>人，全年生产</w:t>
      </w:r>
      <w:r w:rsidR="00F33540">
        <w:rPr>
          <w:rFonts w:ascii="Times New Roman" w:eastAsia="宋体" w:hAnsi="Times New Roman"/>
          <w:caps/>
          <w:sz w:val="24"/>
        </w:rPr>
        <w:t>300</w:t>
      </w:r>
      <w:r w:rsidR="000A7B2F" w:rsidRPr="000A7B2F">
        <w:rPr>
          <w:rFonts w:ascii="Times New Roman" w:eastAsia="宋体" w:hAnsi="Times New Roman"/>
          <w:caps/>
          <w:sz w:val="24"/>
        </w:rPr>
        <w:t>天，每天工作</w:t>
      </w:r>
      <w:r w:rsidR="000A7B2F" w:rsidRPr="000A7B2F">
        <w:rPr>
          <w:rFonts w:ascii="Times New Roman" w:eastAsia="宋体" w:hAnsi="Times New Roman"/>
          <w:caps/>
          <w:sz w:val="24"/>
        </w:rPr>
        <w:t>8</w:t>
      </w:r>
      <w:r w:rsidR="000A7B2F" w:rsidRPr="000A7B2F">
        <w:rPr>
          <w:rFonts w:ascii="Times New Roman" w:eastAsia="宋体" w:hAnsi="Times New Roman"/>
          <w:caps/>
          <w:sz w:val="24"/>
        </w:rPr>
        <w:t>小时。</w:t>
      </w:r>
    </w:p>
    <w:p w:rsidR="00C414F3" w:rsidRDefault="000D0CC1">
      <w:pPr>
        <w:adjustRightInd w:val="0"/>
        <w:snapToGrid w:val="0"/>
        <w:spacing w:line="500" w:lineRule="exact"/>
        <w:ind w:firstLineChars="200" w:firstLine="480"/>
        <w:outlineLvl w:val="1"/>
        <w:rPr>
          <w:rFonts w:ascii="Times New Roman" w:eastAsiaTheme="minorEastAsia" w:hAnsi="Times New Roman"/>
          <w:sz w:val="24"/>
          <w:szCs w:val="28"/>
        </w:rPr>
      </w:pPr>
      <w:r>
        <w:rPr>
          <w:rFonts w:ascii="Times New Roman" w:eastAsiaTheme="minorEastAsia" w:hAnsi="Times New Roman"/>
          <w:sz w:val="24"/>
          <w:szCs w:val="28"/>
        </w:rPr>
        <w:t>2</w:t>
      </w:r>
      <w:r>
        <w:rPr>
          <w:rFonts w:ascii="Times New Roman" w:eastAsiaTheme="minorEastAsia" w:hAnsi="Times New Roman"/>
          <w:sz w:val="24"/>
          <w:szCs w:val="28"/>
        </w:rPr>
        <w:t>、验收范围</w:t>
      </w:r>
    </w:p>
    <w:p w:rsidR="00C414F3" w:rsidRDefault="00F33540">
      <w:pPr>
        <w:adjustRightInd w:val="0"/>
        <w:snapToGrid w:val="0"/>
        <w:spacing w:line="500" w:lineRule="exact"/>
        <w:ind w:firstLineChars="200" w:firstLine="480"/>
        <w:rPr>
          <w:rFonts w:ascii="Times New Roman" w:eastAsia="宋体" w:hAnsi="Times New Roman"/>
          <w:sz w:val="24"/>
        </w:rPr>
      </w:pPr>
      <w:r w:rsidRPr="00F33540">
        <w:rPr>
          <w:rFonts w:ascii="宋体" w:eastAsia="宋体" w:hAnsi="宋体" w:hint="eastAsia"/>
          <w:snapToGrid w:val="0"/>
          <w:sz w:val="24"/>
          <w:szCs w:val="24"/>
        </w:rPr>
        <w:t>江苏容正医药科技有限公司杜邦Tyvek湿热灭菌袋生产加工项目</w:t>
      </w:r>
      <w:r w:rsidR="000D0CC1">
        <w:rPr>
          <w:rFonts w:ascii="Times New Roman" w:eastAsia="宋体" w:hAnsi="Times New Roman" w:hint="eastAsia"/>
          <w:sz w:val="24"/>
        </w:rPr>
        <w:t>相配套的环保设施</w:t>
      </w:r>
      <w:r w:rsidR="000D0CC1">
        <w:rPr>
          <w:rFonts w:ascii="Times New Roman" w:eastAsia="宋体" w:hAnsi="Times New Roman"/>
          <w:sz w:val="24"/>
        </w:rPr>
        <w:t>。</w:t>
      </w:r>
    </w:p>
    <w:p w:rsidR="00C414F3" w:rsidRDefault="000D0CC1">
      <w:pPr>
        <w:adjustRightInd w:val="0"/>
        <w:snapToGrid w:val="0"/>
        <w:spacing w:line="480" w:lineRule="exact"/>
        <w:ind w:firstLine="561"/>
        <w:outlineLvl w:val="0"/>
        <w:rPr>
          <w:rFonts w:ascii="Times New Roman" w:eastAsiaTheme="minorEastAsia" w:hAnsi="Times New Roman"/>
          <w:b/>
          <w:sz w:val="24"/>
          <w:szCs w:val="28"/>
        </w:rPr>
      </w:pPr>
      <w:r>
        <w:rPr>
          <w:rFonts w:ascii="Times New Roman" w:eastAsiaTheme="minorEastAsia" w:hAnsi="Times New Roman"/>
          <w:b/>
          <w:sz w:val="24"/>
          <w:szCs w:val="28"/>
        </w:rPr>
        <w:t>二、工程变动情况</w:t>
      </w:r>
    </w:p>
    <w:p w:rsidR="00C414F3" w:rsidRDefault="00F33540">
      <w:pPr>
        <w:spacing w:line="360" w:lineRule="auto"/>
        <w:ind w:firstLineChars="200" w:firstLine="480"/>
        <w:rPr>
          <w:rFonts w:ascii="宋体" w:eastAsia="宋体" w:hAnsi="宋体" w:cs="宋体"/>
          <w:sz w:val="24"/>
          <w:szCs w:val="24"/>
        </w:rPr>
      </w:pPr>
      <w:r w:rsidRPr="00F33540">
        <w:rPr>
          <w:rFonts w:ascii="宋体" w:eastAsia="宋体" w:hAnsi="宋体" w:hint="eastAsia"/>
          <w:snapToGrid w:val="0"/>
          <w:sz w:val="24"/>
          <w:szCs w:val="24"/>
        </w:rPr>
        <w:t>江苏容正医药科技有限公司杜邦Tyvek湿热灭菌袋生产加工项目</w:t>
      </w:r>
      <w:r w:rsidR="000D0CC1">
        <w:rPr>
          <w:rFonts w:ascii="宋体" w:eastAsia="宋体" w:hAnsi="宋体" w:cs="宋体" w:hint="eastAsia"/>
          <w:sz w:val="24"/>
          <w:szCs w:val="24"/>
        </w:rPr>
        <w:t>的性质、规模、地点、加工工艺与环评及批复一致，没有发生变化。污染防治措施没有发生变化。</w:t>
      </w:r>
    </w:p>
    <w:p w:rsidR="00C414F3" w:rsidRDefault="000D0CC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对照江苏省环保厅《关于加强建设项目重大变动环评管理的通知》（苏环办〔2015〕256号有关规定，本次变动没有新增污染因子，对环境没有产生不利影响，不属于重大变动。</w:t>
      </w:r>
    </w:p>
    <w:p w:rsidR="00C414F3" w:rsidRDefault="000D0CC1">
      <w:pPr>
        <w:adjustRightInd w:val="0"/>
        <w:snapToGrid w:val="0"/>
        <w:spacing w:line="480" w:lineRule="exact"/>
        <w:ind w:firstLine="561"/>
        <w:outlineLvl w:val="0"/>
        <w:rPr>
          <w:rFonts w:ascii="Times New Roman" w:eastAsiaTheme="minorEastAsia" w:hAnsi="Times New Roman"/>
          <w:b/>
          <w:sz w:val="24"/>
          <w:szCs w:val="28"/>
        </w:rPr>
      </w:pPr>
      <w:r>
        <w:rPr>
          <w:rFonts w:ascii="Times New Roman" w:eastAsiaTheme="minorEastAsia" w:hAnsi="Times New Roman"/>
          <w:b/>
          <w:sz w:val="24"/>
          <w:szCs w:val="28"/>
        </w:rPr>
        <w:t>三、环境保护设施建设情况</w:t>
      </w:r>
    </w:p>
    <w:p w:rsidR="00C414F3" w:rsidRDefault="000D0CC1">
      <w:pPr>
        <w:adjustRightInd w:val="0"/>
        <w:snapToGrid w:val="0"/>
        <w:spacing w:line="500" w:lineRule="exact"/>
        <w:ind w:firstLineChars="200" w:firstLine="480"/>
        <w:outlineLvl w:val="1"/>
        <w:rPr>
          <w:rFonts w:ascii="Times New Roman" w:eastAsia="宋体" w:hAnsi="Times New Roman"/>
          <w:sz w:val="24"/>
          <w:szCs w:val="28"/>
        </w:rPr>
      </w:pPr>
      <w:r>
        <w:rPr>
          <w:rFonts w:ascii="Times New Roman" w:eastAsia="宋体" w:hAnsi="Times New Roman"/>
          <w:sz w:val="24"/>
          <w:szCs w:val="28"/>
        </w:rPr>
        <w:t>1</w:t>
      </w:r>
      <w:r>
        <w:rPr>
          <w:rFonts w:ascii="Times New Roman" w:eastAsia="宋体" w:hAnsi="Times New Roman"/>
          <w:sz w:val="24"/>
          <w:szCs w:val="28"/>
        </w:rPr>
        <w:t>）废水</w:t>
      </w:r>
    </w:p>
    <w:p w:rsidR="00C414F3" w:rsidRDefault="000D0CC1" w:rsidP="00AC6B20">
      <w:pPr>
        <w:adjustRightInd w:val="0"/>
        <w:snapToGrid w:val="0"/>
        <w:spacing w:line="500" w:lineRule="exact"/>
        <w:ind w:firstLineChars="200" w:firstLine="480"/>
        <w:rPr>
          <w:rFonts w:ascii="Times New Roman" w:eastAsia="宋体" w:hAnsi="Times New Roman"/>
          <w:sz w:val="24"/>
        </w:rPr>
      </w:pPr>
      <w:r>
        <w:rPr>
          <w:rFonts w:ascii="Times New Roman" w:eastAsia="宋体" w:hAnsi="Times New Roman"/>
          <w:sz w:val="24"/>
        </w:rPr>
        <w:t>项目废水主要为员工生活污水</w:t>
      </w:r>
      <w:r w:rsidR="00F33540">
        <w:rPr>
          <w:rFonts w:ascii="Times New Roman" w:eastAsia="宋体" w:hAnsi="Times New Roman" w:hint="eastAsia"/>
          <w:sz w:val="24"/>
        </w:rPr>
        <w:t>和设备清洗用水</w:t>
      </w:r>
      <w:r>
        <w:rPr>
          <w:rFonts w:ascii="Times New Roman" w:eastAsia="宋体" w:hAnsi="Times New Roman"/>
          <w:sz w:val="24"/>
        </w:rPr>
        <w:t>，</w:t>
      </w:r>
      <w:r w:rsidR="00F33540">
        <w:rPr>
          <w:rFonts w:ascii="Times New Roman" w:eastAsia="宋体" w:hAnsi="Times New Roman" w:hint="eastAsia"/>
          <w:sz w:val="24"/>
        </w:rPr>
        <w:t>生活污水</w:t>
      </w:r>
      <w:r>
        <w:rPr>
          <w:rFonts w:ascii="Times New Roman" w:eastAsia="宋体" w:hAnsi="Times New Roman"/>
          <w:sz w:val="24"/>
        </w:rPr>
        <w:t>经化粪池预处理达到接管标准后</w:t>
      </w:r>
      <w:r w:rsidR="00F33540">
        <w:rPr>
          <w:rFonts w:ascii="Times New Roman" w:eastAsia="宋体" w:hAnsi="Times New Roman" w:hint="eastAsia"/>
          <w:sz w:val="24"/>
        </w:rPr>
        <w:t>连同设备清洗废水</w:t>
      </w:r>
      <w:r>
        <w:rPr>
          <w:rFonts w:ascii="Times New Roman" w:eastAsia="宋体" w:hAnsi="Times New Roman"/>
          <w:sz w:val="24"/>
        </w:rPr>
        <w:t>经</w:t>
      </w:r>
      <w:r w:rsidR="00AC6B20" w:rsidRPr="00AC6B20">
        <w:rPr>
          <w:rFonts w:ascii="Times New Roman" w:eastAsia="宋体" w:hAnsi="Times New Roman" w:hint="eastAsia"/>
          <w:sz w:val="24"/>
        </w:rPr>
        <w:t>六合区大厂污水处理厂</w:t>
      </w:r>
      <w:r>
        <w:rPr>
          <w:rFonts w:ascii="Times New Roman" w:eastAsia="宋体" w:hAnsi="Times New Roman"/>
          <w:sz w:val="24"/>
        </w:rPr>
        <w:t>处理</w:t>
      </w:r>
      <w:r w:rsidR="00AC6B20">
        <w:rPr>
          <w:rFonts w:ascii="Times New Roman" w:eastAsia="宋体" w:hAnsi="Times New Roman" w:hint="eastAsia"/>
          <w:bCs/>
          <w:sz w:val="24"/>
        </w:rPr>
        <w:t>后</w:t>
      </w:r>
      <w:r w:rsidR="00AC6B20">
        <w:rPr>
          <w:rFonts w:ascii="Times New Roman" w:eastAsia="宋体" w:hAnsi="Times New Roman"/>
          <w:bCs/>
          <w:sz w:val="24"/>
        </w:rPr>
        <w:t>排入</w:t>
      </w:r>
      <w:r w:rsidR="00AC6B20">
        <w:rPr>
          <w:rFonts w:ascii="Times New Roman" w:eastAsia="宋体" w:hAnsi="Times New Roman" w:hint="eastAsia"/>
          <w:bCs/>
          <w:sz w:val="24"/>
        </w:rPr>
        <w:t>马汊河。</w:t>
      </w:r>
    </w:p>
    <w:p w:rsidR="00C414F3" w:rsidRDefault="000D0CC1">
      <w:pPr>
        <w:adjustRightInd w:val="0"/>
        <w:snapToGrid w:val="0"/>
        <w:spacing w:line="500" w:lineRule="exact"/>
        <w:ind w:firstLineChars="200" w:firstLine="480"/>
        <w:outlineLvl w:val="1"/>
        <w:rPr>
          <w:rFonts w:ascii="Times New Roman" w:eastAsia="宋体" w:hAnsi="Times New Roman"/>
          <w:sz w:val="24"/>
          <w:szCs w:val="28"/>
        </w:rPr>
      </w:pPr>
      <w:r>
        <w:rPr>
          <w:rFonts w:ascii="Times New Roman" w:eastAsia="宋体" w:hAnsi="Times New Roman"/>
          <w:sz w:val="24"/>
          <w:szCs w:val="28"/>
        </w:rPr>
        <w:t>2</w:t>
      </w:r>
      <w:r>
        <w:rPr>
          <w:rFonts w:ascii="Times New Roman" w:eastAsia="宋体" w:hAnsi="Times New Roman"/>
          <w:sz w:val="24"/>
          <w:szCs w:val="28"/>
        </w:rPr>
        <w:t>）废气</w:t>
      </w:r>
    </w:p>
    <w:p w:rsidR="00F33540" w:rsidRDefault="00F33540">
      <w:pPr>
        <w:adjustRightInd w:val="0"/>
        <w:snapToGrid w:val="0"/>
        <w:spacing w:line="500" w:lineRule="exact"/>
        <w:ind w:firstLineChars="200" w:firstLine="480"/>
        <w:outlineLvl w:val="1"/>
        <w:rPr>
          <w:rFonts w:ascii="宋体" w:eastAsia="宋体" w:hAnsi="宋体" w:cs="宋体"/>
          <w:color w:val="000000"/>
          <w:sz w:val="24"/>
        </w:rPr>
      </w:pPr>
      <w:r>
        <w:rPr>
          <w:rFonts w:ascii="Times New Roman" w:eastAsia="宋体" w:hAnsi="Times New Roman" w:hint="eastAsia"/>
          <w:bCs/>
          <w:sz w:val="24"/>
        </w:rPr>
        <w:t>本项目印刷工序产生的废气经集气罩收集后通入活性炭吸附装置进行处理，处理后经</w:t>
      </w:r>
      <w:r>
        <w:rPr>
          <w:rFonts w:ascii="Times New Roman" w:eastAsia="宋体" w:hAnsi="Times New Roman" w:hint="eastAsia"/>
          <w:bCs/>
          <w:sz w:val="24"/>
        </w:rPr>
        <w:t>1</w:t>
      </w:r>
      <w:r>
        <w:rPr>
          <w:rFonts w:ascii="Times New Roman" w:eastAsia="宋体" w:hAnsi="Times New Roman"/>
          <w:bCs/>
          <w:sz w:val="24"/>
        </w:rPr>
        <w:t>5</w:t>
      </w:r>
      <w:r>
        <w:rPr>
          <w:rFonts w:ascii="Times New Roman" w:eastAsia="宋体" w:hAnsi="Times New Roman" w:hint="eastAsia"/>
          <w:bCs/>
          <w:sz w:val="24"/>
        </w:rPr>
        <w:t>m</w:t>
      </w:r>
      <w:r>
        <w:rPr>
          <w:rFonts w:ascii="Times New Roman" w:eastAsia="宋体" w:hAnsi="Times New Roman" w:hint="eastAsia"/>
          <w:bCs/>
          <w:sz w:val="24"/>
        </w:rPr>
        <w:t>排气筒排放，排放能够达到</w:t>
      </w:r>
      <w:r>
        <w:rPr>
          <w:rFonts w:ascii="宋体" w:eastAsia="宋体" w:hAnsi="宋体" w:cs="宋体" w:hint="eastAsia"/>
          <w:color w:val="000000"/>
          <w:sz w:val="24"/>
        </w:rPr>
        <w:t>《大气污染物综合排放标准》（G</w:t>
      </w:r>
      <w:r>
        <w:rPr>
          <w:rFonts w:ascii="宋体" w:eastAsia="宋体" w:hAnsi="宋体" w:cs="宋体"/>
          <w:color w:val="000000"/>
          <w:sz w:val="24"/>
        </w:rPr>
        <w:t>B116297</w:t>
      </w:r>
      <w:r>
        <w:rPr>
          <w:rFonts w:ascii="宋体" w:eastAsia="宋体" w:hAnsi="宋体" w:cs="宋体" w:hint="eastAsia"/>
          <w:color w:val="000000"/>
          <w:sz w:val="24"/>
        </w:rPr>
        <w:t>-</w:t>
      </w:r>
      <w:r>
        <w:rPr>
          <w:rFonts w:ascii="宋体" w:eastAsia="宋体" w:hAnsi="宋体" w:cs="宋体"/>
          <w:color w:val="000000"/>
          <w:sz w:val="24"/>
        </w:rPr>
        <w:t>1996</w:t>
      </w:r>
      <w:r>
        <w:rPr>
          <w:rFonts w:ascii="宋体" w:eastAsia="宋体" w:hAnsi="宋体" w:cs="宋体" w:hint="eastAsia"/>
          <w:color w:val="000000"/>
          <w:sz w:val="24"/>
        </w:rPr>
        <w:t>）中表2相关标准</w:t>
      </w:r>
      <w:r w:rsidR="00F77D14">
        <w:rPr>
          <w:rFonts w:ascii="宋体" w:eastAsia="宋体" w:hAnsi="宋体" w:cs="宋体" w:hint="eastAsia"/>
          <w:color w:val="000000"/>
          <w:sz w:val="24"/>
        </w:rPr>
        <w:t>。</w:t>
      </w:r>
    </w:p>
    <w:p w:rsidR="00C414F3" w:rsidRDefault="000D0CC1">
      <w:pPr>
        <w:adjustRightInd w:val="0"/>
        <w:snapToGrid w:val="0"/>
        <w:spacing w:line="500" w:lineRule="exact"/>
        <w:ind w:firstLineChars="200" w:firstLine="480"/>
        <w:outlineLvl w:val="1"/>
        <w:rPr>
          <w:rFonts w:ascii="Times New Roman" w:eastAsia="宋体" w:hAnsi="Times New Roman"/>
          <w:sz w:val="24"/>
          <w:szCs w:val="28"/>
        </w:rPr>
      </w:pPr>
      <w:r>
        <w:rPr>
          <w:rFonts w:ascii="Times New Roman" w:eastAsia="宋体" w:hAnsi="Times New Roman"/>
          <w:sz w:val="24"/>
          <w:szCs w:val="28"/>
        </w:rPr>
        <w:t>3</w:t>
      </w:r>
      <w:r>
        <w:rPr>
          <w:rFonts w:ascii="Times New Roman" w:eastAsia="宋体" w:hAnsi="Times New Roman"/>
          <w:sz w:val="24"/>
          <w:szCs w:val="28"/>
        </w:rPr>
        <w:t>）噪声</w:t>
      </w:r>
    </w:p>
    <w:p w:rsidR="00F33540" w:rsidRPr="00F33540" w:rsidRDefault="00F33540" w:rsidP="00F33540">
      <w:pPr>
        <w:spacing w:line="360" w:lineRule="auto"/>
        <w:ind w:firstLineChars="200" w:firstLine="480"/>
        <w:rPr>
          <w:rFonts w:ascii="宋体" w:eastAsia="宋体" w:hAnsi="宋体" w:cs="宋体"/>
          <w:kern w:val="0"/>
          <w:sz w:val="24"/>
          <w:szCs w:val="24"/>
        </w:rPr>
      </w:pPr>
      <w:r w:rsidRPr="00F33540">
        <w:rPr>
          <w:rFonts w:ascii="宋体" w:eastAsia="宋体" w:hAnsi="宋体" w:cs="宋体" w:hint="eastAsia"/>
          <w:kern w:val="0"/>
          <w:sz w:val="24"/>
          <w:szCs w:val="24"/>
        </w:rPr>
        <w:t>建设项目噪声源为生产设备运行产生的设备噪声，运行时源强在7</w:t>
      </w:r>
      <w:r w:rsidRPr="00F33540">
        <w:rPr>
          <w:rFonts w:ascii="宋体" w:eastAsia="宋体" w:hAnsi="宋体" w:cs="宋体"/>
          <w:kern w:val="0"/>
          <w:sz w:val="24"/>
          <w:szCs w:val="24"/>
        </w:rPr>
        <w:t>0</w:t>
      </w:r>
      <w:r w:rsidRPr="00F33540">
        <w:rPr>
          <w:rFonts w:ascii="宋体" w:eastAsia="宋体" w:hAnsi="宋体" w:cs="宋体" w:hint="eastAsia"/>
          <w:kern w:val="0"/>
          <w:sz w:val="24"/>
          <w:szCs w:val="24"/>
        </w:rPr>
        <w:t>-</w:t>
      </w:r>
      <w:r w:rsidRPr="00F33540">
        <w:rPr>
          <w:rFonts w:ascii="宋体" w:eastAsia="宋体" w:hAnsi="宋体" w:cs="宋体"/>
          <w:kern w:val="0"/>
          <w:sz w:val="24"/>
          <w:szCs w:val="24"/>
        </w:rPr>
        <w:t>80</w:t>
      </w:r>
      <w:r w:rsidRPr="00F33540">
        <w:rPr>
          <w:rFonts w:ascii="宋体" w:eastAsia="宋体" w:hAnsi="宋体" w:cs="宋体" w:hint="eastAsia"/>
          <w:kern w:val="0"/>
          <w:sz w:val="24"/>
          <w:szCs w:val="24"/>
        </w:rPr>
        <w:t>d</w:t>
      </w:r>
      <w:r w:rsidRPr="00F33540">
        <w:rPr>
          <w:rFonts w:ascii="宋体" w:eastAsia="宋体" w:hAnsi="宋体" w:cs="宋体"/>
          <w:kern w:val="0"/>
          <w:sz w:val="24"/>
          <w:szCs w:val="24"/>
        </w:rPr>
        <w:t>B</w:t>
      </w:r>
      <w:r w:rsidRPr="00F33540">
        <w:rPr>
          <w:rFonts w:ascii="宋体" w:eastAsia="宋体" w:hAnsi="宋体" w:cs="宋体" w:hint="eastAsia"/>
          <w:kern w:val="0"/>
          <w:sz w:val="24"/>
          <w:szCs w:val="24"/>
        </w:rPr>
        <w:t>（A），项目墙体采用隔声消音材料，设备安装时底部加装减震垫等措施。本项目厂内噪声设备在采取降噪措施的情况下，对场界噪声昼间贡献值在</w:t>
      </w:r>
      <w:r w:rsidRPr="00F33540">
        <w:rPr>
          <w:rFonts w:ascii="宋体" w:eastAsia="宋体" w:hAnsi="宋体"/>
          <w:kern w:val="0"/>
          <w:sz w:val="24"/>
          <w:szCs w:val="24"/>
        </w:rPr>
        <w:t>65dB (A)</w:t>
      </w:r>
      <w:r w:rsidRPr="00F33540">
        <w:rPr>
          <w:rFonts w:ascii="宋体" w:eastAsia="宋体" w:hAnsi="宋体" w:cs="宋体" w:hint="eastAsia"/>
          <w:kern w:val="0"/>
          <w:sz w:val="24"/>
          <w:szCs w:val="24"/>
        </w:rPr>
        <w:t>以下，本项目夜间不进行生产，不会改变项目所在地环境功能，场界噪声可达</w:t>
      </w:r>
      <w:r w:rsidRPr="00F33540">
        <w:rPr>
          <w:rFonts w:ascii="宋体" w:eastAsia="宋体" w:hAnsi="宋体" w:hint="eastAsia"/>
          <w:kern w:val="0"/>
          <w:sz w:val="24"/>
          <w:szCs w:val="24"/>
        </w:rPr>
        <w:t>《</w:t>
      </w:r>
      <w:r w:rsidRPr="00F33540">
        <w:rPr>
          <w:rFonts w:ascii="宋体" w:eastAsia="宋体" w:hAnsi="宋体" w:cs="宋体" w:hint="eastAsia"/>
          <w:kern w:val="0"/>
          <w:sz w:val="24"/>
          <w:szCs w:val="24"/>
        </w:rPr>
        <w:t>工业企业厂界环境噪声排放标准》（</w:t>
      </w:r>
      <w:r w:rsidRPr="00F33540">
        <w:rPr>
          <w:rFonts w:ascii="宋体" w:eastAsia="宋体" w:hAnsi="宋体"/>
          <w:kern w:val="0"/>
          <w:sz w:val="24"/>
          <w:szCs w:val="24"/>
        </w:rPr>
        <w:t>GB12348-2008)</w:t>
      </w:r>
      <w:r w:rsidRPr="00F33540">
        <w:rPr>
          <w:rFonts w:ascii="宋体" w:eastAsia="宋体" w:hAnsi="宋体" w:cs="宋体" w:hint="eastAsia"/>
          <w:kern w:val="0"/>
          <w:sz w:val="24"/>
          <w:szCs w:val="24"/>
        </w:rPr>
        <w:t>中</w:t>
      </w:r>
      <w:r w:rsidRPr="00F33540">
        <w:rPr>
          <w:rFonts w:ascii="宋体" w:eastAsia="宋体" w:hAnsi="宋体"/>
          <w:kern w:val="0"/>
          <w:sz w:val="24"/>
          <w:szCs w:val="24"/>
        </w:rPr>
        <w:t xml:space="preserve">3 </w:t>
      </w:r>
      <w:r w:rsidRPr="00F33540">
        <w:rPr>
          <w:rFonts w:ascii="宋体" w:eastAsia="宋体" w:hAnsi="宋体" w:cs="宋体" w:hint="eastAsia"/>
          <w:kern w:val="0"/>
          <w:sz w:val="24"/>
          <w:szCs w:val="24"/>
        </w:rPr>
        <w:t>类标准。</w:t>
      </w:r>
    </w:p>
    <w:p w:rsidR="00C414F3" w:rsidRDefault="000D0CC1">
      <w:pPr>
        <w:adjustRightInd w:val="0"/>
        <w:snapToGrid w:val="0"/>
        <w:spacing w:line="500" w:lineRule="exact"/>
        <w:ind w:firstLine="561"/>
        <w:outlineLvl w:val="0"/>
        <w:rPr>
          <w:rFonts w:ascii="Times New Roman" w:eastAsiaTheme="minorEastAsia" w:hAnsi="Times New Roman"/>
          <w:b/>
          <w:sz w:val="24"/>
          <w:szCs w:val="28"/>
        </w:rPr>
      </w:pPr>
      <w:r>
        <w:rPr>
          <w:rFonts w:ascii="Times New Roman" w:eastAsiaTheme="minorEastAsia" w:hAnsi="Times New Roman"/>
          <w:b/>
          <w:sz w:val="24"/>
          <w:szCs w:val="28"/>
        </w:rPr>
        <w:t>四、环保设施监测结果</w:t>
      </w:r>
    </w:p>
    <w:p w:rsidR="00C414F3" w:rsidRDefault="000D0CC1">
      <w:pPr>
        <w:adjustRightInd w:val="0"/>
        <w:snapToGrid w:val="0"/>
        <w:spacing w:line="500" w:lineRule="exact"/>
        <w:ind w:firstLineChars="200" w:firstLine="480"/>
        <w:outlineLvl w:val="1"/>
        <w:rPr>
          <w:rFonts w:ascii="Times New Roman" w:eastAsia="宋体" w:hAnsi="Times New Roman"/>
          <w:sz w:val="24"/>
          <w:szCs w:val="28"/>
        </w:rPr>
      </w:pPr>
      <w:r>
        <w:rPr>
          <w:rFonts w:ascii="Times New Roman" w:eastAsia="宋体" w:hAnsi="Times New Roman"/>
          <w:sz w:val="24"/>
          <w:szCs w:val="28"/>
        </w:rPr>
        <w:t>1</w:t>
      </w:r>
      <w:r>
        <w:rPr>
          <w:rFonts w:ascii="Times New Roman" w:eastAsia="宋体" w:hAnsi="Times New Roman"/>
          <w:sz w:val="24"/>
          <w:szCs w:val="28"/>
        </w:rPr>
        <w:t>、监测期间的生产工况</w:t>
      </w:r>
    </w:p>
    <w:p w:rsidR="00C414F3" w:rsidRDefault="000D0CC1">
      <w:pPr>
        <w:pStyle w:val="3"/>
        <w:spacing w:line="500" w:lineRule="exact"/>
        <w:ind w:firstLineChars="200" w:firstLine="480"/>
        <w:rPr>
          <w:rFonts w:ascii="Times New Roman" w:hAnsi="Times New Roman"/>
        </w:rPr>
      </w:pPr>
      <w:r>
        <w:rPr>
          <w:rFonts w:ascii="Times New Roman" w:hAnsi="Times New Roman"/>
        </w:rPr>
        <w:t>验收监测期间，经现场核查，企业生产正常，各生产装置正常运行，各项环保治理设施正常运行，</w:t>
      </w:r>
      <w:r>
        <w:rPr>
          <w:rFonts w:ascii="Times New Roman" w:hAnsi="Times New Roman" w:hint="eastAsia"/>
        </w:rPr>
        <w:t>2019</w:t>
      </w:r>
      <w:r>
        <w:rPr>
          <w:rFonts w:ascii="Times New Roman" w:hAnsi="Times New Roman" w:hint="eastAsia"/>
        </w:rPr>
        <w:t>年</w:t>
      </w:r>
      <w:r w:rsidR="00F33540">
        <w:rPr>
          <w:rFonts w:ascii="Times New Roman" w:hAnsi="Times New Roman"/>
        </w:rPr>
        <w:t>10</w:t>
      </w:r>
      <w:r w:rsidR="002A2967">
        <w:rPr>
          <w:rFonts w:ascii="Times New Roman" w:hAnsi="Times New Roman"/>
        </w:rPr>
        <w:t>月</w:t>
      </w:r>
      <w:r w:rsidR="00F33540">
        <w:rPr>
          <w:rFonts w:ascii="Times New Roman" w:hAnsi="Times New Roman"/>
        </w:rPr>
        <w:t>14</w:t>
      </w:r>
      <w:r w:rsidR="002A2967">
        <w:rPr>
          <w:rFonts w:ascii="Times New Roman" w:hAnsi="Times New Roman"/>
        </w:rPr>
        <w:t>日</w:t>
      </w:r>
      <w:r w:rsidR="002A2967">
        <w:rPr>
          <w:rFonts w:ascii="Times New Roman" w:hAnsi="Times New Roman"/>
        </w:rPr>
        <w:t>~</w:t>
      </w:r>
      <w:r w:rsidR="00F33540">
        <w:rPr>
          <w:rFonts w:ascii="Times New Roman" w:hAnsi="Times New Roman"/>
        </w:rPr>
        <w:t>10</w:t>
      </w:r>
      <w:r w:rsidR="002A2967">
        <w:rPr>
          <w:rFonts w:ascii="Times New Roman" w:hAnsi="Times New Roman" w:hint="eastAsia"/>
        </w:rPr>
        <w:t>月</w:t>
      </w:r>
      <w:r w:rsidR="00F33540">
        <w:rPr>
          <w:rFonts w:ascii="Times New Roman" w:hAnsi="Times New Roman"/>
        </w:rPr>
        <w:t>15</w:t>
      </w:r>
      <w:r w:rsidR="002A2967">
        <w:rPr>
          <w:rFonts w:ascii="Times New Roman" w:hAnsi="Times New Roman"/>
        </w:rPr>
        <w:t>日</w:t>
      </w:r>
      <w:r>
        <w:rPr>
          <w:rFonts w:ascii="Times New Roman" w:hAnsi="Times New Roman"/>
        </w:rPr>
        <w:t>的工况负荷达到验收要求。</w:t>
      </w:r>
    </w:p>
    <w:p w:rsidR="00C414F3" w:rsidRDefault="000D0CC1">
      <w:pPr>
        <w:pStyle w:val="3"/>
        <w:spacing w:line="500" w:lineRule="exact"/>
        <w:ind w:firstLineChars="200" w:firstLine="480"/>
        <w:rPr>
          <w:rFonts w:ascii="Times New Roman" w:hAnsi="Times New Roman"/>
        </w:rPr>
      </w:pPr>
      <w:r>
        <w:rPr>
          <w:rFonts w:ascii="Times New Roman" w:hAnsi="Times New Roman" w:hint="eastAsia"/>
        </w:rPr>
        <w:t>2</w:t>
      </w:r>
      <w:r>
        <w:rPr>
          <w:rFonts w:ascii="Times New Roman" w:hAnsi="Times New Roman" w:hint="eastAsia"/>
        </w:rPr>
        <w:t>、</w:t>
      </w:r>
      <w:r>
        <w:rPr>
          <w:rFonts w:ascii="Times New Roman" w:hAnsi="Times New Roman"/>
        </w:rPr>
        <w:t>废水</w:t>
      </w:r>
    </w:p>
    <w:p w:rsidR="00C414F3" w:rsidRPr="00E1361D" w:rsidRDefault="000D0CC1">
      <w:pPr>
        <w:spacing w:line="500" w:lineRule="exact"/>
        <w:ind w:firstLineChars="200" w:firstLine="480"/>
        <w:rPr>
          <w:rFonts w:ascii="Times New Roman" w:eastAsia="宋体" w:hAnsi="Times New Roman"/>
          <w:sz w:val="24"/>
          <w:szCs w:val="24"/>
        </w:rPr>
      </w:pPr>
      <w:r w:rsidRPr="00E1361D">
        <w:rPr>
          <w:rFonts w:ascii="Times New Roman" w:eastAsia="宋体" w:hAnsi="Times New Roman"/>
          <w:sz w:val="24"/>
          <w:szCs w:val="24"/>
        </w:rPr>
        <w:t>验收监测期间，生活污水排口</w:t>
      </w:r>
      <w:r w:rsidRPr="00E1361D">
        <w:rPr>
          <w:rFonts w:ascii="Times New Roman" w:eastAsia="宋体" w:hAnsi="Times New Roman"/>
          <w:sz w:val="24"/>
          <w:szCs w:val="24"/>
        </w:rPr>
        <w:t>pH</w:t>
      </w:r>
      <w:r w:rsidRPr="00E1361D">
        <w:rPr>
          <w:rFonts w:ascii="Times New Roman" w:eastAsia="宋体" w:hAnsi="Times New Roman"/>
          <w:sz w:val="24"/>
          <w:szCs w:val="24"/>
        </w:rPr>
        <w:t>值、化学需氧量、悬浮物、氨氮、总磷的排放浓度均达到</w:t>
      </w:r>
      <w:r w:rsidR="0033116A" w:rsidRPr="00AC6B20">
        <w:rPr>
          <w:rFonts w:ascii="Times New Roman" w:eastAsia="宋体" w:hAnsi="Times New Roman" w:hint="eastAsia"/>
          <w:sz w:val="24"/>
        </w:rPr>
        <w:t>六合区大厂污水处理厂</w:t>
      </w:r>
      <w:r w:rsidRPr="00E1361D">
        <w:rPr>
          <w:rFonts w:ascii="Times New Roman" w:eastAsia="宋体" w:hAnsi="Times New Roman" w:hint="eastAsia"/>
          <w:sz w:val="24"/>
          <w:szCs w:val="24"/>
        </w:rPr>
        <w:t>接管</w:t>
      </w:r>
      <w:r w:rsidRPr="00E1361D">
        <w:rPr>
          <w:rFonts w:ascii="Times New Roman" w:eastAsia="宋体" w:hAnsi="Times New Roman"/>
          <w:sz w:val="24"/>
          <w:szCs w:val="24"/>
        </w:rPr>
        <w:t>标准。</w:t>
      </w:r>
    </w:p>
    <w:p w:rsidR="00C414F3" w:rsidRDefault="000D0CC1">
      <w:pPr>
        <w:widowControl/>
        <w:adjustRightInd w:val="0"/>
        <w:snapToGrid w:val="0"/>
        <w:spacing w:line="500" w:lineRule="exact"/>
        <w:ind w:firstLineChars="200" w:firstLine="480"/>
        <w:outlineLvl w:val="1"/>
        <w:rPr>
          <w:rFonts w:ascii="Times New Roman" w:eastAsia="宋体" w:hAnsi="Times New Roman"/>
          <w:sz w:val="24"/>
          <w:szCs w:val="28"/>
        </w:rPr>
      </w:pPr>
      <w:r>
        <w:rPr>
          <w:rFonts w:ascii="Times New Roman" w:eastAsia="宋体" w:hAnsi="Times New Roman"/>
          <w:sz w:val="24"/>
          <w:szCs w:val="28"/>
        </w:rPr>
        <w:t>3</w:t>
      </w:r>
      <w:r>
        <w:rPr>
          <w:rFonts w:ascii="Times New Roman" w:eastAsia="宋体" w:hAnsi="Times New Roman"/>
          <w:sz w:val="24"/>
          <w:szCs w:val="28"/>
        </w:rPr>
        <w:t>、废气</w:t>
      </w:r>
    </w:p>
    <w:p w:rsidR="00F77D14" w:rsidRDefault="00F33540" w:rsidP="00F77D14">
      <w:pPr>
        <w:adjustRightInd w:val="0"/>
        <w:snapToGrid w:val="0"/>
        <w:spacing w:line="500" w:lineRule="exact"/>
        <w:ind w:firstLineChars="200" w:firstLine="480"/>
        <w:outlineLvl w:val="1"/>
        <w:rPr>
          <w:rFonts w:ascii="宋体" w:eastAsia="宋体" w:hAnsi="宋体" w:cs="宋体"/>
          <w:color w:val="000000"/>
          <w:sz w:val="24"/>
        </w:rPr>
      </w:pPr>
      <w:r w:rsidRPr="00E1361D">
        <w:rPr>
          <w:rFonts w:ascii="Times New Roman" w:eastAsia="宋体" w:hAnsi="Times New Roman"/>
          <w:sz w:val="24"/>
          <w:szCs w:val="24"/>
        </w:rPr>
        <w:t>验收监测期间，</w:t>
      </w:r>
      <w:r>
        <w:rPr>
          <w:rFonts w:ascii="Times New Roman" w:eastAsia="宋体" w:hAnsi="Times New Roman" w:hint="eastAsia"/>
          <w:sz w:val="24"/>
          <w:szCs w:val="24"/>
        </w:rPr>
        <w:t>印刷废气</w:t>
      </w:r>
      <w:r w:rsidRPr="00E1361D">
        <w:rPr>
          <w:rFonts w:ascii="Times New Roman" w:eastAsia="宋体" w:hAnsi="Times New Roman"/>
          <w:sz w:val="24"/>
          <w:szCs w:val="24"/>
        </w:rPr>
        <w:t>排口</w:t>
      </w:r>
      <w:r>
        <w:rPr>
          <w:rFonts w:ascii="Times New Roman" w:eastAsia="宋体" w:hAnsi="Times New Roman" w:hint="eastAsia"/>
          <w:sz w:val="24"/>
          <w:szCs w:val="24"/>
        </w:rPr>
        <w:t>非甲烷总烃</w:t>
      </w:r>
      <w:r w:rsidRPr="00E1361D">
        <w:rPr>
          <w:rFonts w:ascii="Times New Roman" w:eastAsia="宋体" w:hAnsi="Times New Roman"/>
          <w:sz w:val="24"/>
          <w:szCs w:val="24"/>
        </w:rPr>
        <w:t>的排放浓度</w:t>
      </w:r>
      <w:r w:rsidR="00976D7D">
        <w:rPr>
          <w:rFonts w:ascii="Times New Roman" w:eastAsia="宋体" w:hAnsi="Times New Roman" w:hint="eastAsia"/>
          <w:sz w:val="24"/>
          <w:szCs w:val="24"/>
        </w:rPr>
        <w:t>及</w:t>
      </w:r>
      <w:r w:rsidR="00F77D14">
        <w:rPr>
          <w:rFonts w:ascii="Times New Roman" w:eastAsia="宋体" w:hAnsi="Times New Roman" w:hint="eastAsia"/>
          <w:sz w:val="24"/>
          <w:szCs w:val="24"/>
        </w:rPr>
        <w:t>排放速率</w:t>
      </w:r>
      <w:r w:rsidRPr="00E1361D">
        <w:rPr>
          <w:rFonts w:ascii="Times New Roman" w:eastAsia="宋体" w:hAnsi="Times New Roman"/>
          <w:sz w:val="24"/>
          <w:szCs w:val="24"/>
        </w:rPr>
        <w:t>均达到</w:t>
      </w:r>
      <w:r w:rsidR="00F77D14">
        <w:rPr>
          <w:rFonts w:ascii="宋体" w:eastAsia="宋体" w:hAnsi="宋体" w:cs="宋体" w:hint="eastAsia"/>
          <w:color w:val="000000"/>
          <w:sz w:val="24"/>
        </w:rPr>
        <w:t>《大气污染物综合排放标准》（G</w:t>
      </w:r>
      <w:r w:rsidR="00F77D14">
        <w:rPr>
          <w:rFonts w:ascii="宋体" w:eastAsia="宋体" w:hAnsi="宋体" w:cs="宋体"/>
          <w:color w:val="000000"/>
          <w:sz w:val="24"/>
        </w:rPr>
        <w:t>B116297</w:t>
      </w:r>
      <w:r w:rsidR="00F77D14">
        <w:rPr>
          <w:rFonts w:ascii="宋体" w:eastAsia="宋体" w:hAnsi="宋体" w:cs="宋体" w:hint="eastAsia"/>
          <w:color w:val="000000"/>
          <w:sz w:val="24"/>
        </w:rPr>
        <w:t>-</w:t>
      </w:r>
      <w:r w:rsidR="00F77D14">
        <w:rPr>
          <w:rFonts w:ascii="宋体" w:eastAsia="宋体" w:hAnsi="宋体" w:cs="宋体"/>
          <w:color w:val="000000"/>
          <w:sz w:val="24"/>
        </w:rPr>
        <w:t>1996</w:t>
      </w:r>
      <w:r w:rsidR="00F77D14">
        <w:rPr>
          <w:rFonts w:ascii="宋体" w:eastAsia="宋体" w:hAnsi="宋体" w:cs="宋体" w:hint="eastAsia"/>
          <w:color w:val="000000"/>
          <w:sz w:val="24"/>
        </w:rPr>
        <w:t>）中表2相关标准。</w:t>
      </w:r>
    </w:p>
    <w:p w:rsidR="00C414F3" w:rsidRDefault="000D0CC1" w:rsidP="00F77D14">
      <w:pPr>
        <w:spacing w:line="500" w:lineRule="exact"/>
        <w:ind w:firstLineChars="200" w:firstLine="480"/>
        <w:rPr>
          <w:rFonts w:ascii="Times New Roman" w:eastAsia="宋体" w:hAnsi="Times New Roman"/>
          <w:sz w:val="24"/>
          <w:szCs w:val="28"/>
        </w:rPr>
      </w:pPr>
      <w:r>
        <w:rPr>
          <w:rFonts w:ascii="Times New Roman" w:eastAsia="宋体" w:hAnsi="Times New Roman"/>
          <w:sz w:val="24"/>
          <w:szCs w:val="28"/>
        </w:rPr>
        <w:t>4</w:t>
      </w:r>
      <w:r>
        <w:rPr>
          <w:rFonts w:ascii="Times New Roman" w:eastAsia="宋体" w:hAnsi="Times New Roman"/>
          <w:sz w:val="24"/>
          <w:szCs w:val="28"/>
        </w:rPr>
        <w:t>、噪声</w:t>
      </w:r>
    </w:p>
    <w:p w:rsidR="00C414F3" w:rsidRDefault="000D0CC1">
      <w:pPr>
        <w:adjustRightInd w:val="0"/>
        <w:snapToGrid w:val="0"/>
        <w:spacing w:line="500" w:lineRule="exact"/>
        <w:ind w:firstLineChars="200" w:firstLine="480"/>
        <w:outlineLvl w:val="1"/>
        <w:rPr>
          <w:rFonts w:ascii="Times New Roman" w:eastAsia="宋体" w:hAnsi="Times New Roman"/>
          <w:sz w:val="24"/>
        </w:rPr>
      </w:pPr>
      <w:r w:rsidRPr="003E502D">
        <w:rPr>
          <w:rFonts w:ascii="Times New Roman" w:eastAsia="宋体" w:hAnsi="Times New Roman"/>
          <w:sz w:val="24"/>
        </w:rPr>
        <w:lastRenderedPageBreak/>
        <w:t>验收监测期间</w:t>
      </w:r>
      <w:r>
        <w:rPr>
          <w:rFonts w:ascii="Times New Roman" w:eastAsia="宋体" w:hAnsi="Times New Roman"/>
          <w:sz w:val="24"/>
        </w:rPr>
        <w:t>，厂内各产噪设备正常运行，各类降噪设备及防护设施运行正常，厂界昼间环境噪声监测值范围</w:t>
      </w:r>
      <w:r w:rsidR="00F77D14">
        <w:rPr>
          <w:rFonts w:ascii="Times New Roman" w:eastAsia="宋体" w:hAnsi="Times New Roman"/>
          <w:sz w:val="24"/>
        </w:rPr>
        <w:t>45.2</w:t>
      </w:r>
      <w:r w:rsidR="00E1361D" w:rsidRPr="00E1361D">
        <w:rPr>
          <w:rFonts w:ascii="Times New Roman" w:eastAsia="宋体" w:hAnsi="Times New Roman"/>
          <w:sz w:val="24"/>
        </w:rPr>
        <w:t>dB(A)</w:t>
      </w:r>
      <w:r w:rsidR="00E1361D" w:rsidRPr="00E1361D">
        <w:rPr>
          <w:rFonts w:ascii="Times New Roman" w:eastAsia="宋体" w:hAnsi="Times New Roman"/>
          <w:sz w:val="24"/>
        </w:rPr>
        <w:t>～</w:t>
      </w:r>
      <w:r w:rsidR="00F77D14">
        <w:rPr>
          <w:rFonts w:ascii="Times New Roman" w:eastAsia="宋体" w:hAnsi="Times New Roman"/>
          <w:sz w:val="24"/>
        </w:rPr>
        <w:t>56.1</w:t>
      </w:r>
      <w:r w:rsidR="00E1361D" w:rsidRPr="00E1361D">
        <w:rPr>
          <w:rFonts w:ascii="Times New Roman" w:eastAsia="宋体" w:hAnsi="Times New Roman"/>
          <w:sz w:val="24"/>
        </w:rPr>
        <w:t>dB(A)</w:t>
      </w:r>
      <w:r>
        <w:rPr>
          <w:rFonts w:ascii="Times New Roman" w:eastAsia="宋体" w:hAnsi="Times New Roman"/>
          <w:sz w:val="24"/>
        </w:rPr>
        <w:t>，符合《工业企业厂界环境噪声排放标准》（</w:t>
      </w:r>
      <w:r>
        <w:rPr>
          <w:rFonts w:ascii="Times New Roman" w:eastAsia="宋体" w:hAnsi="Times New Roman"/>
          <w:sz w:val="24"/>
        </w:rPr>
        <w:t>GB12348-2008</w:t>
      </w:r>
      <w:r>
        <w:rPr>
          <w:rFonts w:ascii="Times New Roman" w:eastAsia="宋体" w:hAnsi="Times New Roman"/>
          <w:sz w:val="24"/>
        </w:rPr>
        <w:t>）</w:t>
      </w:r>
      <w:r>
        <w:rPr>
          <w:rFonts w:ascii="Times New Roman" w:eastAsia="宋体" w:hAnsi="Times New Roman"/>
          <w:sz w:val="24"/>
        </w:rPr>
        <w:t>3</w:t>
      </w:r>
      <w:r>
        <w:rPr>
          <w:rFonts w:ascii="Times New Roman" w:eastAsia="宋体" w:hAnsi="Times New Roman"/>
          <w:sz w:val="24"/>
        </w:rPr>
        <w:t>类标准。</w:t>
      </w:r>
    </w:p>
    <w:p w:rsidR="00C414F3" w:rsidRDefault="000D0CC1">
      <w:pPr>
        <w:adjustRightInd w:val="0"/>
        <w:snapToGrid w:val="0"/>
        <w:spacing w:line="500" w:lineRule="exact"/>
        <w:ind w:firstLineChars="200" w:firstLine="480"/>
        <w:outlineLvl w:val="1"/>
        <w:rPr>
          <w:rFonts w:ascii="Times New Roman" w:eastAsia="宋体" w:hAnsi="Times New Roman"/>
          <w:sz w:val="24"/>
          <w:szCs w:val="28"/>
        </w:rPr>
      </w:pPr>
      <w:r>
        <w:rPr>
          <w:rFonts w:ascii="Times New Roman" w:eastAsia="宋体" w:hAnsi="Times New Roman"/>
          <w:sz w:val="24"/>
          <w:szCs w:val="28"/>
        </w:rPr>
        <w:t>5</w:t>
      </w:r>
      <w:r>
        <w:rPr>
          <w:rFonts w:ascii="Times New Roman" w:eastAsia="宋体" w:hAnsi="Times New Roman"/>
          <w:sz w:val="24"/>
          <w:szCs w:val="28"/>
        </w:rPr>
        <w:t>、排放总量</w:t>
      </w:r>
    </w:p>
    <w:p w:rsidR="00E46ECA" w:rsidRPr="00E46ECA" w:rsidRDefault="00E46ECA" w:rsidP="00E46ECA">
      <w:pPr>
        <w:spacing w:line="500" w:lineRule="exact"/>
        <w:ind w:firstLine="437"/>
        <w:rPr>
          <w:rFonts w:ascii="Times New Roman" w:eastAsia="宋体" w:hAnsi="Times New Roman"/>
          <w:sz w:val="24"/>
        </w:rPr>
      </w:pPr>
      <w:r w:rsidRPr="00E46ECA">
        <w:rPr>
          <w:rFonts w:ascii="Times New Roman" w:eastAsia="宋体" w:hAnsi="Times New Roman"/>
          <w:sz w:val="24"/>
        </w:rPr>
        <w:t>项目废水中化学需氧量、悬浮物、氨氮、总磷</w:t>
      </w:r>
      <w:r w:rsidR="00F77D14">
        <w:rPr>
          <w:rFonts w:ascii="Times New Roman" w:eastAsia="宋体" w:hAnsi="Times New Roman" w:hint="eastAsia"/>
          <w:sz w:val="24"/>
        </w:rPr>
        <w:t>、总氮接管</w:t>
      </w:r>
      <w:r w:rsidRPr="00E46ECA">
        <w:rPr>
          <w:rFonts w:ascii="Times New Roman" w:eastAsia="宋体" w:hAnsi="Times New Roman"/>
          <w:sz w:val="24"/>
        </w:rPr>
        <w:t>量分别为</w:t>
      </w:r>
      <w:r w:rsidR="00F77D14">
        <w:rPr>
          <w:rFonts w:ascii="Times New Roman" w:eastAsia="宋体" w:hAnsi="Times New Roman"/>
          <w:sz w:val="24"/>
        </w:rPr>
        <w:t>0.055</w:t>
      </w:r>
      <w:r w:rsidRPr="00E46ECA">
        <w:rPr>
          <w:rFonts w:ascii="Times New Roman" w:eastAsia="宋体" w:hAnsi="Times New Roman"/>
          <w:sz w:val="24"/>
        </w:rPr>
        <w:t>吨</w:t>
      </w:r>
      <w:r w:rsidRPr="00E46ECA">
        <w:rPr>
          <w:rFonts w:ascii="Times New Roman" w:eastAsia="宋体" w:hAnsi="Times New Roman"/>
          <w:sz w:val="24"/>
        </w:rPr>
        <w:t>/</w:t>
      </w:r>
      <w:r w:rsidRPr="00E46ECA">
        <w:rPr>
          <w:rFonts w:ascii="Times New Roman" w:eastAsia="宋体" w:hAnsi="Times New Roman"/>
          <w:sz w:val="24"/>
        </w:rPr>
        <w:t>年、</w:t>
      </w:r>
      <w:r w:rsidR="00F77D14">
        <w:rPr>
          <w:rFonts w:ascii="Times New Roman" w:eastAsia="宋体" w:hAnsi="Times New Roman"/>
          <w:sz w:val="24"/>
        </w:rPr>
        <w:t>0.0308</w:t>
      </w:r>
      <w:r w:rsidRPr="00E46ECA">
        <w:rPr>
          <w:rFonts w:ascii="Times New Roman" w:eastAsia="宋体" w:hAnsi="Times New Roman"/>
          <w:sz w:val="24"/>
        </w:rPr>
        <w:t>吨</w:t>
      </w:r>
      <w:r w:rsidRPr="00E46ECA">
        <w:rPr>
          <w:rFonts w:ascii="Times New Roman" w:eastAsia="宋体" w:hAnsi="Times New Roman"/>
          <w:sz w:val="24"/>
        </w:rPr>
        <w:t>/</w:t>
      </w:r>
      <w:r w:rsidRPr="00E46ECA">
        <w:rPr>
          <w:rFonts w:ascii="Times New Roman" w:eastAsia="宋体" w:hAnsi="Times New Roman"/>
          <w:sz w:val="24"/>
        </w:rPr>
        <w:t>年、</w:t>
      </w:r>
      <w:r w:rsidR="00F77D14">
        <w:rPr>
          <w:rFonts w:ascii="Times New Roman" w:eastAsia="宋体" w:hAnsi="Times New Roman"/>
          <w:sz w:val="24"/>
        </w:rPr>
        <w:t>0.0045</w:t>
      </w:r>
      <w:r w:rsidRPr="00E46ECA">
        <w:rPr>
          <w:rFonts w:ascii="Times New Roman" w:eastAsia="宋体" w:hAnsi="Times New Roman"/>
          <w:sz w:val="24"/>
        </w:rPr>
        <w:t>吨</w:t>
      </w:r>
      <w:r w:rsidRPr="00E46ECA">
        <w:rPr>
          <w:rFonts w:ascii="Times New Roman" w:eastAsia="宋体" w:hAnsi="Times New Roman"/>
          <w:sz w:val="24"/>
        </w:rPr>
        <w:t>/</w:t>
      </w:r>
      <w:r w:rsidRPr="00E46ECA">
        <w:rPr>
          <w:rFonts w:ascii="Times New Roman" w:eastAsia="宋体" w:hAnsi="Times New Roman"/>
          <w:sz w:val="24"/>
        </w:rPr>
        <w:t>年、</w:t>
      </w:r>
      <w:r w:rsidR="00F77D14">
        <w:rPr>
          <w:rFonts w:ascii="Times New Roman" w:eastAsia="宋体" w:hAnsi="Times New Roman"/>
          <w:sz w:val="24"/>
        </w:rPr>
        <w:t>0.00072</w:t>
      </w:r>
      <w:r w:rsidRPr="00E46ECA">
        <w:rPr>
          <w:rFonts w:ascii="Times New Roman" w:eastAsia="宋体" w:hAnsi="Times New Roman"/>
          <w:sz w:val="24"/>
        </w:rPr>
        <w:t>吨</w:t>
      </w:r>
      <w:r w:rsidRPr="00E46ECA">
        <w:rPr>
          <w:rFonts w:ascii="Times New Roman" w:eastAsia="宋体" w:hAnsi="Times New Roman"/>
          <w:sz w:val="24"/>
        </w:rPr>
        <w:t>/</w:t>
      </w:r>
      <w:r w:rsidRPr="00E46ECA">
        <w:rPr>
          <w:rFonts w:ascii="Times New Roman" w:eastAsia="宋体" w:hAnsi="Times New Roman"/>
          <w:sz w:val="24"/>
        </w:rPr>
        <w:t>年</w:t>
      </w:r>
      <w:r w:rsidR="00F77D14">
        <w:rPr>
          <w:rFonts w:ascii="Times New Roman" w:eastAsia="宋体" w:hAnsi="Times New Roman" w:hint="eastAsia"/>
          <w:sz w:val="24"/>
        </w:rPr>
        <w:t>、</w:t>
      </w:r>
      <w:r w:rsidR="00F77D14">
        <w:rPr>
          <w:rFonts w:ascii="Times New Roman" w:eastAsia="宋体" w:hAnsi="Times New Roman" w:hint="eastAsia"/>
          <w:sz w:val="24"/>
        </w:rPr>
        <w:t>0</w:t>
      </w:r>
      <w:r w:rsidR="00F77D14">
        <w:rPr>
          <w:rFonts w:ascii="Times New Roman" w:eastAsia="宋体" w:hAnsi="Times New Roman"/>
          <w:sz w:val="24"/>
        </w:rPr>
        <w:t>.0063</w:t>
      </w:r>
      <w:r w:rsidR="00F77D14">
        <w:rPr>
          <w:rFonts w:ascii="Times New Roman" w:eastAsia="宋体" w:hAnsi="Times New Roman" w:hint="eastAsia"/>
          <w:sz w:val="24"/>
        </w:rPr>
        <w:t>吨</w:t>
      </w:r>
      <w:r w:rsidR="00F77D14">
        <w:rPr>
          <w:rFonts w:ascii="Times New Roman" w:eastAsia="宋体" w:hAnsi="Times New Roman"/>
          <w:sz w:val="24"/>
        </w:rPr>
        <w:t>/</w:t>
      </w:r>
      <w:r w:rsidR="00F77D14">
        <w:rPr>
          <w:rFonts w:ascii="Times New Roman" w:eastAsia="宋体" w:hAnsi="Times New Roman" w:hint="eastAsia"/>
          <w:sz w:val="24"/>
        </w:rPr>
        <w:t>年</w:t>
      </w:r>
      <w:r w:rsidRPr="00E46ECA">
        <w:rPr>
          <w:rFonts w:ascii="Times New Roman" w:eastAsia="宋体" w:hAnsi="Times New Roman"/>
          <w:sz w:val="24"/>
        </w:rPr>
        <w:t>，均符合该项目环评及批复中总量控制指标要求</w:t>
      </w:r>
      <w:r w:rsidR="00C74341">
        <w:rPr>
          <w:rFonts w:ascii="Times New Roman" w:eastAsia="宋体" w:hAnsi="Times New Roman" w:hint="eastAsia"/>
          <w:sz w:val="24"/>
        </w:rPr>
        <w:t>。</w:t>
      </w:r>
    </w:p>
    <w:p w:rsidR="00F77D14" w:rsidRPr="00E46ECA" w:rsidRDefault="00F77D14" w:rsidP="00F77D14">
      <w:pPr>
        <w:spacing w:line="500" w:lineRule="exact"/>
        <w:ind w:firstLine="437"/>
        <w:rPr>
          <w:rFonts w:ascii="Times New Roman" w:eastAsia="宋体" w:hAnsi="Times New Roman"/>
          <w:sz w:val="24"/>
        </w:rPr>
      </w:pPr>
      <w:r>
        <w:rPr>
          <w:rFonts w:ascii="Times New Roman" w:eastAsia="宋体" w:hAnsi="Times New Roman" w:hint="eastAsia"/>
          <w:sz w:val="24"/>
        </w:rPr>
        <w:t>项目废气中</w:t>
      </w:r>
      <w:r>
        <w:rPr>
          <w:rFonts w:ascii="Times New Roman" w:eastAsia="宋体" w:hAnsi="Times New Roman" w:hint="eastAsia"/>
          <w:sz w:val="24"/>
        </w:rPr>
        <w:t>V</w:t>
      </w:r>
      <w:r>
        <w:rPr>
          <w:rFonts w:ascii="Times New Roman" w:eastAsia="宋体" w:hAnsi="Times New Roman"/>
          <w:sz w:val="24"/>
        </w:rPr>
        <w:t>OC</w:t>
      </w:r>
      <w:r>
        <w:rPr>
          <w:rFonts w:ascii="Times New Roman" w:eastAsia="宋体" w:hAnsi="Times New Roman" w:hint="eastAsia"/>
          <w:sz w:val="24"/>
        </w:rPr>
        <w:t>s</w:t>
      </w:r>
      <w:r>
        <w:rPr>
          <w:rFonts w:ascii="Times New Roman" w:eastAsia="宋体" w:hAnsi="Times New Roman" w:hint="eastAsia"/>
          <w:sz w:val="24"/>
        </w:rPr>
        <w:t>排放量为</w:t>
      </w:r>
      <w:r>
        <w:rPr>
          <w:rFonts w:ascii="Times New Roman" w:eastAsia="宋体" w:hAnsi="Times New Roman" w:hint="eastAsia"/>
          <w:sz w:val="24"/>
        </w:rPr>
        <w:t>0</w:t>
      </w:r>
      <w:r>
        <w:rPr>
          <w:rFonts w:ascii="Times New Roman" w:eastAsia="宋体" w:hAnsi="Times New Roman"/>
          <w:sz w:val="24"/>
        </w:rPr>
        <w:t>.00045</w:t>
      </w:r>
      <w:r>
        <w:rPr>
          <w:rFonts w:ascii="Times New Roman" w:eastAsia="宋体" w:hAnsi="Times New Roman" w:hint="eastAsia"/>
          <w:sz w:val="24"/>
        </w:rPr>
        <w:t>吨</w:t>
      </w:r>
      <w:r>
        <w:rPr>
          <w:rFonts w:ascii="Times New Roman" w:eastAsia="宋体" w:hAnsi="Times New Roman" w:hint="eastAsia"/>
          <w:sz w:val="24"/>
        </w:rPr>
        <w:t>/</w:t>
      </w:r>
      <w:r>
        <w:rPr>
          <w:rFonts w:ascii="Times New Roman" w:eastAsia="宋体" w:hAnsi="Times New Roman" w:hint="eastAsia"/>
          <w:sz w:val="24"/>
        </w:rPr>
        <w:t>年，</w:t>
      </w:r>
      <w:r w:rsidRPr="00E46ECA">
        <w:rPr>
          <w:rFonts w:ascii="Times New Roman" w:eastAsia="宋体" w:hAnsi="Times New Roman"/>
          <w:sz w:val="24"/>
        </w:rPr>
        <w:t>符合该项目环评及批复中总量控制指标要求</w:t>
      </w:r>
      <w:r>
        <w:rPr>
          <w:rFonts w:ascii="Times New Roman" w:eastAsia="宋体" w:hAnsi="Times New Roman" w:hint="eastAsia"/>
          <w:sz w:val="24"/>
        </w:rPr>
        <w:t>。</w:t>
      </w:r>
    </w:p>
    <w:p w:rsidR="00C414F3" w:rsidRDefault="000D0CC1" w:rsidP="00E1361D">
      <w:pPr>
        <w:spacing w:line="500" w:lineRule="exact"/>
        <w:ind w:firstLineChars="200" w:firstLine="480"/>
        <w:rPr>
          <w:rFonts w:ascii="Times New Roman" w:eastAsia="宋体" w:hAnsi="Times New Roman"/>
          <w:sz w:val="24"/>
          <w:szCs w:val="24"/>
        </w:rPr>
      </w:pPr>
      <w:r w:rsidRPr="00E46ECA">
        <w:rPr>
          <w:rFonts w:ascii="Times New Roman" w:eastAsia="宋体" w:hAnsi="Times New Roman"/>
          <w:sz w:val="24"/>
        </w:rPr>
        <w:t>固体废弃物：全部综合利用或安全处置。</w:t>
      </w:r>
    </w:p>
    <w:p w:rsidR="00C414F3" w:rsidRDefault="000D0CC1">
      <w:pPr>
        <w:adjustRightInd w:val="0"/>
        <w:snapToGrid w:val="0"/>
        <w:spacing w:before="60" w:line="480" w:lineRule="exact"/>
        <w:ind w:firstLine="560"/>
        <w:outlineLvl w:val="0"/>
        <w:rPr>
          <w:rFonts w:ascii="Times New Roman" w:eastAsiaTheme="minorEastAsia" w:hAnsi="Times New Roman"/>
          <w:b/>
          <w:sz w:val="24"/>
          <w:szCs w:val="28"/>
        </w:rPr>
      </w:pPr>
      <w:r>
        <w:rPr>
          <w:rFonts w:ascii="Times New Roman" w:eastAsiaTheme="minorEastAsia" w:hAnsi="Times New Roman"/>
          <w:b/>
          <w:sz w:val="24"/>
          <w:szCs w:val="28"/>
        </w:rPr>
        <w:t>五、项目对环境的影响</w:t>
      </w:r>
    </w:p>
    <w:p w:rsidR="00C414F3" w:rsidRDefault="000D0CC1">
      <w:pPr>
        <w:adjustRightInd w:val="0"/>
        <w:snapToGrid w:val="0"/>
        <w:spacing w:before="60" w:line="500" w:lineRule="exact"/>
        <w:ind w:firstLineChars="200" w:firstLine="480"/>
        <w:rPr>
          <w:rFonts w:ascii="Times New Roman" w:eastAsia="宋体" w:hAnsi="Times New Roman"/>
          <w:sz w:val="24"/>
          <w:szCs w:val="28"/>
        </w:rPr>
      </w:pPr>
      <w:r>
        <w:rPr>
          <w:rFonts w:ascii="Times New Roman" w:eastAsia="宋体" w:hAnsi="Times New Roman"/>
          <w:sz w:val="24"/>
          <w:szCs w:val="28"/>
        </w:rPr>
        <w:t>经采取污染防治措施后，污染物可实现达标排放，项目对外环境影响可接受。</w:t>
      </w:r>
    </w:p>
    <w:p w:rsidR="00C414F3" w:rsidRDefault="000D0CC1">
      <w:pPr>
        <w:adjustRightInd w:val="0"/>
        <w:snapToGrid w:val="0"/>
        <w:spacing w:before="60" w:line="480" w:lineRule="exact"/>
        <w:ind w:firstLine="560"/>
        <w:outlineLvl w:val="0"/>
        <w:rPr>
          <w:rFonts w:ascii="Times New Roman" w:eastAsiaTheme="minorEastAsia" w:hAnsi="Times New Roman"/>
          <w:b/>
          <w:sz w:val="24"/>
          <w:szCs w:val="28"/>
        </w:rPr>
      </w:pPr>
      <w:r>
        <w:rPr>
          <w:rFonts w:ascii="Times New Roman" w:eastAsiaTheme="minorEastAsia" w:hAnsi="Times New Roman"/>
          <w:b/>
          <w:sz w:val="24"/>
          <w:szCs w:val="28"/>
        </w:rPr>
        <w:t>六、验收结论</w:t>
      </w:r>
    </w:p>
    <w:p w:rsidR="00C414F3" w:rsidRDefault="000D0CC1">
      <w:pPr>
        <w:spacing w:line="500" w:lineRule="exact"/>
        <w:ind w:firstLineChars="200" w:firstLine="480"/>
        <w:outlineLvl w:val="0"/>
        <w:rPr>
          <w:rFonts w:ascii="Times New Roman" w:eastAsia="宋体" w:hAnsi="Times New Roman"/>
          <w:sz w:val="24"/>
          <w:szCs w:val="28"/>
        </w:rPr>
      </w:pPr>
      <w:r>
        <w:rPr>
          <w:rFonts w:ascii="Times New Roman" w:eastAsia="宋体" w:hAnsi="Times New Roman"/>
          <w:sz w:val="24"/>
          <w:szCs w:val="28"/>
        </w:rPr>
        <w:t>验收组根据《建设项目竣工环境保护验收暂行办法》、相关技术规范、项目环境影响评价文件及其批复等进行了验收材料审阅和现场查验，经分析讨论后认为：</w:t>
      </w:r>
    </w:p>
    <w:p w:rsidR="00C414F3" w:rsidRDefault="00192789">
      <w:pPr>
        <w:spacing w:line="500" w:lineRule="exact"/>
        <w:ind w:firstLineChars="200" w:firstLine="480"/>
        <w:outlineLvl w:val="0"/>
        <w:rPr>
          <w:rFonts w:ascii="Times New Roman" w:eastAsia="宋体" w:hAnsi="Times New Roman"/>
          <w:sz w:val="24"/>
          <w:szCs w:val="28"/>
        </w:rPr>
      </w:pPr>
      <w:r w:rsidRPr="00192789">
        <w:rPr>
          <w:rFonts w:ascii="宋体" w:eastAsia="宋体" w:hAnsi="宋体" w:hint="eastAsia"/>
          <w:snapToGrid w:val="0"/>
          <w:kern w:val="0"/>
          <w:sz w:val="24"/>
          <w:szCs w:val="24"/>
        </w:rPr>
        <w:t>江苏容正医药科技有限公司杜邦Tyvek湿热灭菌袋生产加工项目</w:t>
      </w:r>
      <w:r w:rsidR="000D0CC1">
        <w:rPr>
          <w:rFonts w:ascii="Times New Roman" w:eastAsia="宋体" w:hAnsi="Times New Roman"/>
          <w:sz w:val="24"/>
          <w:szCs w:val="28"/>
        </w:rPr>
        <w:t>，并相应落实了环境影响评价文件及其批复中的相关要求，不存在《建设项目竣工环境保护验收暂行办法》第八条所列不得通过验收的九种情形，项目竣工大气、水、噪声环境保护设施验收合格。</w:t>
      </w:r>
    </w:p>
    <w:p w:rsidR="00192789" w:rsidRDefault="00192789">
      <w:pPr>
        <w:spacing w:before="60" w:line="480" w:lineRule="exact"/>
        <w:ind w:firstLineChars="200" w:firstLine="482"/>
        <w:outlineLvl w:val="0"/>
        <w:rPr>
          <w:rFonts w:ascii="Times New Roman" w:eastAsiaTheme="minorEastAsia" w:hAnsi="Times New Roman"/>
          <w:b/>
          <w:sz w:val="24"/>
          <w:szCs w:val="28"/>
        </w:rPr>
      </w:pPr>
    </w:p>
    <w:p w:rsidR="00192789" w:rsidRDefault="00192789">
      <w:pPr>
        <w:spacing w:before="60" w:line="480" w:lineRule="exact"/>
        <w:ind w:firstLineChars="200" w:firstLine="482"/>
        <w:outlineLvl w:val="0"/>
        <w:rPr>
          <w:rFonts w:ascii="Times New Roman" w:eastAsiaTheme="minorEastAsia" w:hAnsi="Times New Roman"/>
          <w:b/>
          <w:sz w:val="24"/>
          <w:szCs w:val="28"/>
        </w:rPr>
      </w:pPr>
    </w:p>
    <w:p w:rsidR="00192789" w:rsidRDefault="00192789">
      <w:pPr>
        <w:spacing w:before="60" w:line="480" w:lineRule="exact"/>
        <w:ind w:firstLineChars="200" w:firstLine="482"/>
        <w:outlineLvl w:val="0"/>
        <w:rPr>
          <w:rFonts w:ascii="Times New Roman" w:eastAsiaTheme="minorEastAsia" w:hAnsi="Times New Roman"/>
          <w:b/>
          <w:sz w:val="24"/>
          <w:szCs w:val="28"/>
        </w:rPr>
      </w:pPr>
    </w:p>
    <w:p w:rsidR="00192789" w:rsidRDefault="00192789">
      <w:pPr>
        <w:spacing w:before="60" w:line="480" w:lineRule="exact"/>
        <w:ind w:firstLineChars="200" w:firstLine="482"/>
        <w:outlineLvl w:val="0"/>
        <w:rPr>
          <w:rFonts w:ascii="Times New Roman" w:eastAsiaTheme="minorEastAsia" w:hAnsi="Times New Roman"/>
          <w:b/>
          <w:sz w:val="24"/>
          <w:szCs w:val="28"/>
        </w:rPr>
      </w:pPr>
    </w:p>
    <w:p w:rsidR="00192789" w:rsidRDefault="00192789">
      <w:pPr>
        <w:spacing w:before="60" w:line="480" w:lineRule="exact"/>
        <w:ind w:firstLineChars="200" w:firstLine="482"/>
        <w:outlineLvl w:val="0"/>
        <w:rPr>
          <w:rFonts w:ascii="Times New Roman" w:eastAsiaTheme="minorEastAsia" w:hAnsi="Times New Roman"/>
          <w:b/>
          <w:sz w:val="24"/>
          <w:szCs w:val="28"/>
        </w:rPr>
      </w:pPr>
    </w:p>
    <w:p w:rsidR="00192789" w:rsidRDefault="00192789">
      <w:pPr>
        <w:spacing w:before="60" w:line="480" w:lineRule="exact"/>
        <w:ind w:firstLineChars="200" w:firstLine="482"/>
        <w:outlineLvl w:val="0"/>
        <w:rPr>
          <w:rFonts w:ascii="Times New Roman" w:eastAsiaTheme="minorEastAsia" w:hAnsi="Times New Roman"/>
          <w:b/>
          <w:sz w:val="24"/>
          <w:szCs w:val="28"/>
        </w:rPr>
      </w:pPr>
    </w:p>
    <w:p w:rsidR="00C414F3" w:rsidRDefault="000D0CC1">
      <w:pPr>
        <w:spacing w:before="60" w:line="480" w:lineRule="exact"/>
        <w:ind w:firstLineChars="200" w:firstLine="482"/>
        <w:outlineLvl w:val="0"/>
        <w:rPr>
          <w:rFonts w:ascii="Times New Roman" w:eastAsiaTheme="minorEastAsia" w:hAnsi="Times New Roman"/>
          <w:b/>
          <w:sz w:val="24"/>
          <w:szCs w:val="28"/>
        </w:rPr>
      </w:pPr>
      <w:r>
        <w:rPr>
          <w:rFonts w:ascii="Times New Roman" w:eastAsiaTheme="minorEastAsia" w:hAnsi="Times New Roman"/>
          <w:b/>
          <w:sz w:val="24"/>
          <w:szCs w:val="28"/>
        </w:rPr>
        <w:lastRenderedPageBreak/>
        <w:t>七、后续要求</w:t>
      </w:r>
    </w:p>
    <w:p w:rsidR="00E1361D" w:rsidRPr="00E1361D" w:rsidRDefault="00E1361D" w:rsidP="00E1361D">
      <w:pPr>
        <w:numPr>
          <w:ilvl w:val="0"/>
          <w:numId w:val="1"/>
        </w:numPr>
        <w:spacing w:line="500" w:lineRule="exact"/>
        <w:ind w:firstLineChars="200" w:firstLine="480"/>
        <w:rPr>
          <w:rFonts w:ascii="Times New Roman" w:eastAsia="宋体" w:hAnsi="Times New Roman"/>
          <w:sz w:val="24"/>
          <w:szCs w:val="28"/>
        </w:rPr>
      </w:pPr>
      <w:r w:rsidRPr="00E1361D">
        <w:rPr>
          <w:rFonts w:ascii="Times New Roman" w:eastAsia="宋体" w:hAnsi="Times New Roman"/>
          <w:sz w:val="24"/>
          <w:szCs w:val="28"/>
        </w:rPr>
        <w:t>进一步健全环保责任制度，加强环保设施的日常管理和保养工作；</w:t>
      </w:r>
    </w:p>
    <w:p w:rsidR="00E1361D" w:rsidRPr="00E1361D" w:rsidRDefault="00E1361D" w:rsidP="00E1361D">
      <w:pPr>
        <w:numPr>
          <w:ilvl w:val="0"/>
          <w:numId w:val="1"/>
        </w:numPr>
        <w:spacing w:line="500" w:lineRule="exact"/>
        <w:ind w:firstLineChars="200" w:firstLine="480"/>
        <w:rPr>
          <w:rFonts w:ascii="Times New Roman" w:eastAsia="宋体" w:hAnsi="Times New Roman"/>
          <w:sz w:val="24"/>
          <w:szCs w:val="28"/>
        </w:rPr>
      </w:pPr>
      <w:r w:rsidRPr="00E1361D">
        <w:rPr>
          <w:rFonts w:ascii="Times New Roman" w:eastAsia="宋体" w:hAnsi="Times New Roman"/>
          <w:sz w:val="24"/>
          <w:szCs w:val="28"/>
        </w:rPr>
        <w:t>加强固废管理，危险废物委托有资质的单位处理，一般固废综合利用，实现固废</w:t>
      </w:r>
      <w:r w:rsidRPr="00E1361D">
        <w:rPr>
          <w:rFonts w:ascii="Times New Roman" w:eastAsia="宋体" w:hAnsi="Times New Roman" w:hint="eastAsia"/>
          <w:sz w:val="24"/>
          <w:szCs w:val="28"/>
        </w:rPr>
        <w:t>“零排放”；</w:t>
      </w:r>
    </w:p>
    <w:p w:rsidR="00E1361D" w:rsidRPr="00E1361D" w:rsidRDefault="00E1361D" w:rsidP="00E1361D">
      <w:pPr>
        <w:adjustRightInd w:val="0"/>
        <w:snapToGrid w:val="0"/>
        <w:spacing w:before="60" w:line="480" w:lineRule="exact"/>
        <w:ind w:firstLineChars="200" w:firstLine="480"/>
        <w:outlineLvl w:val="0"/>
        <w:rPr>
          <w:rFonts w:ascii="Times New Roman" w:eastAsia="宋体" w:hAnsi="Times New Roman"/>
          <w:sz w:val="24"/>
          <w:szCs w:val="28"/>
        </w:rPr>
      </w:pPr>
      <w:r w:rsidRPr="00E1361D">
        <w:rPr>
          <w:rFonts w:ascii="Times New Roman" w:eastAsia="宋体" w:hAnsi="Times New Roman"/>
          <w:sz w:val="24"/>
          <w:szCs w:val="28"/>
        </w:rPr>
        <w:t>3</w:t>
      </w:r>
      <w:r w:rsidRPr="00E1361D">
        <w:rPr>
          <w:rFonts w:ascii="Times New Roman" w:eastAsia="宋体" w:hAnsi="Times New Roman"/>
          <w:sz w:val="24"/>
          <w:szCs w:val="28"/>
        </w:rPr>
        <w:t>、保持车间地面清洁，加强环保管理。</w:t>
      </w:r>
    </w:p>
    <w:p w:rsidR="00C414F3" w:rsidRDefault="000D0CC1" w:rsidP="00E1361D">
      <w:pPr>
        <w:adjustRightInd w:val="0"/>
        <w:snapToGrid w:val="0"/>
        <w:spacing w:before="60" w:line="480" w:lineRule="exact"/>
        <w:ind w:firstLineChars="200" w:firstLine="482"/>
        <w:outlineLvl w:val="0"/>
        <w:rPr>
          <w:rFonts w:ascii="Times New Roman" w:eastAsiaTheme="minorEastAsia" w:hAnsi="Times New Roman"/>
          <w:b/>
          <w:sz w:val="24"/>
          <w:szCs w:val="28"/>
        </w:rPr>
      </w:pPr>
      <w:r>
        <w:rPr>
          <w:rFonts w:ascii="Times New Roman" w:eastAsiaTheme="minorEastAsia" w:hAnsi="Times New Roman"/>
          <w:b/>
          <w:sz w:val="24"/>
          <w:szCs w:val="28"/>
        </w:rPr>
        <w:t>八、验收人员信息</w:t>
      </w:r>
    </w:p>
    <w:p w:rsidR="00C414F3" w:rsidRPr="00694A2B" w:rsidRDefault="000D0CC1" w:rsidP="00694A2B">
      <w:pPr>
        <w:adjustRightInd w:val="0"/>
        <w:snapToGrid w:val="0"/>
        <w:spacing w:before="60" w:line="480" w:lineRule="exact"/>
        <w:ind w:firstLineChars="200" w:firstLine="482"/>
        <w:contextualSpacing/>
        <w:outlineLvl w:val="0"/>
        <w:rPr>
          <w:rFonts w:ascii="Times New Roman" w:eastAsiaTheme="minorEastAsia" w:hAnsi="Times New Roman"/>
          <w:b/>
          <w:sz w:val="24"/>
          <w:szCs w:val="28"/>
        </w:rPr>
      </w:pPr>
      <w:r>
        <w:rPr>
          <w:rFonts w:ascii="Times New Roman" w:eastAsiaTheme="minorEastAsia" w:hAnsi="Times New Roman"/>
          <w:b/>
          <w:sz w:val="24"/>
          <w:szCs w:val="28"/>
        </w:rPr>
        <w:t>见附表。</w:t>
      </w:r>
    </w:p>
    <w:p w:rsidR="00C414F3" w:rsidRDefault="00C414F3">
      <w:pPr>
        <w:adjustRightInd w:val="0"/>
        <w:snapToGrid w:val="0"/>
        <w:spacing w:line="500" w:lineRule="exact"/>
        <w:jc w:val="right"/>
        <w:rPr>
          <w:rFonts w:ascii="Times New Roman" w:eastAsia="宋体" w:hAnsi="Times New Roman"/>
          <w:sz w:val="24"/>
          <w:szCs w:val="28"/>
        </w:rPr>
      </w:pPr>
    </w:p>
    <w:p w:rsidR="00C414F3" w:rsidRDefault="00192789">
      <w:pPr>
        <w:adjustRightInd w:val="0"/>
        <w:snapToGrid w:val="0"/>
        <w:spacing w:line="500" w:lineRule="exact"/>
        <w:jc w:val="right"/>
        <w:rPr>
          <w:rFonts w:ascii="Times New Roman" w:eastAsia="宋体" w:hAnsi="Times New Roman"/>
          <w:sz w:val="24"/>
          <w:szCs w:val="28"/>
        </w:rPr>
      </w:pPr>
      <w:r w:rsidRPr="00192789">
        <w:rPr>
          <w:rFonts w:ascii="宋体" w:eastAsia="宋体" w:hAnsi="宋体" w:hint="eastAsia"/>
          <w:snapToGrid w:val="0"/>
          <w:kern w:val="0"/>
          <w:sz w:val="24"/>
          <w:szCs w:val="24"/>
        </w:rPr>
        <w:t>江苏容正医药科技有限公司</w:t>
      </w:r>
      <w:r w:rsidR="000D0CC1">
        <w:rPr>
          <w:rFonts w:ascii="Times New Roman" w:eastAsia="宋体" w:hAnsi="Times New Roman"/>
          <w:sz w:val="24"/>
          <w:szCs w:val="28"/>
        </w:rPr>
        <w:t>（章）</w:t>
      </w:r>
    </w:p>
    <w:p w:rsidR="00C414F3" w:rsidRDefault="000D0CC1">
      <w:pPr>
        <w:pStyle w:val="TOC2"/>
        <w:ind w:left="0" w:firstLineChars="0" w:firstLine="0"/>
        <w:jc w:val="right"/>
        <w:rPr>
          <w:rFonts w:ascii="Times New Roman" w:eastAsia="宋体" w:hAnsi="Times New Roman"/>
          <w:szCs w:val="28"/>
        </w:rPr>
        <w:sectPr w:rsidR="00C414F3">
          <w:footerReference w:type="default" r:id="rId8"/>
          <w:pgSz w:w="11906" w:h="16838"/>
          <w:pgMar w:top="1440" w:right="1800" w:bottom="1440" w:left="1800" w:header="851" w:footer="992" w:gutter="0"/>
          <w:cols w:space="425"/>
          <w:docGrid w:type="lines" w:linePitch="312"/>
        </w:sectPr>
      </w:pPr>
      <w:r>
        <w:rPr>
          <w:rFonts w:ascii="Times New Roman" w:eastAsia="宋体" w:hAnsi="Times New Roman"/>
          <w:spacing w:val="7"/>
          <w:kern w:val="0"/>
        </w:rPr>
        <w:t>20</w:t>
      </w:r>
      <w:r w:rsidR="00647D22">
        <w:rPr>
          <w:rFonts w:ascii="Times New Roman" w:eastAsia="宋体" w:hAnsi="Times New Roman"/>
          <w:spacing w:val="7"/>
          <w:kern w:val="0"/>
        </w:rPr>
        <w:t>19</w:t>
      </w:r>
      <w:r>
        <w:rPr>
          <w:rFonts w:ascii="Times New Roman" w:eastAsia="宋体" w:hAnsi="Times New Roman"/>
          <w:spacing w:val="7"/>
          <w:kern w:val="0"/>
        </w:rPr>
        <w:t>年</w:t>
      </w:r>
      <w:r w:rsidR="00647D22">
        <w:rPr>
          <w:rFonts w:ascii="Times New Roman" w:eastAsia="宋体" w:hAnsi="Times New Roman"/>
          <w:spacing w:val="7"/>
          <w:kern w:val="0"/>
        </w:rPr>
        <w:t>10</w:t>
      </w:r>
      <w:r>
        <w:rPr>
          <w:rFonts w:ascii="Times New Roman" w:eastAsia="宋体" w:hAnsi="Times New Roman"/>
          <w:spacing w:val="7"/>
          <w:kern w:val="0"/>
        </w:rPr>
        <w:t>月</w:t>
      </w:r>
      <w:r w:rsidR="00647D22">
        <w:rPr>
          <w:rFonts w:ascii="Times New Roman" w:eastAsia="宋体" w:hAnsi="Times New Roman"/>
          <w:spacing w:val="7"/>
          <w:kern w:val="0"/>
        </w:rPr>
        <w:t>31</w:t>
      </w:r>
      <w:bookmarkStart w:id="0" w:name="_GoBack"/>
      <w:bookmarkEnd w:id="0"/>
      <w:r>
        <w:rPr>
          <w:rFonts w:ascii="Times New Roman" w:eastAsia="宋体" w:hAnsi="Times New Roman"/>
          <w:spacing w:val="7"/>
          <w:kern w:val="0"/>
        </w:rPr>
        <w:t>日</w:t>
      </w:r>
    </w:p>
    <w:p w:rsidR="00386D05" w:rsidRPr="00386D05" w:rsidRDefault="00386D05" w:rsidP="003A56D0">
      <w:pPr>
        <w:jc w:val="center"/>
        <w:rPr>
          <w:b/>
          <w:bCs/>
          <w:sz w:val="44"/>
          <w:szCs w:val="44"/>
        </w:rPr>
      </w:pPr>
      <w:r w:rsidRPr="00386D05">
        <w:rPr>
          <w:rFonts w:ascii="宋体" w:eastAsia="宋体" w:hAnsi="宋体" w:hint="eastAsia"/>
          <w:b/>
          <w:bCs/>
          <w:snapToGrid w:val="0"/>
          <w:kern w:val="0"/>
          <w:sz w:val="44"/>
          <w:szCs w:val="44"/>
        </w:rPr>
        <w:lastRenderedPageBreak/>
        <w:t>江苏容正医药科技有限公司杜邦Tyvek湿热灭菌袋生产加工项目竣工发环境保护验收组人员签到表</w:t>
      </w:r>
    </w:p>
    <w:tbl>
      <w:tblPr>
        <w:tblStyle w:val="af0"/>
        <w:tblW w:w="0" w:type="auto"/>
        <w:jc w:val="center"/>
        <w:tblLook w:val="04A0" w:firstRow="1" w:lastRow="0" w:firstColumn="1" w:lastColumn="0" w:noHBand="0" w:noVBand="1"/>
      </w:tblPr>
      <w:tblGrid>
        <w:gridCol w:w="1242"/>
        <w:gridCol w:w="1843"/>
        <w:gridCol w:w="7938"/>
        <w:gridCol w:w="2410"/>
        <w:gridCol w:w="1461"/>
      </w:tblGrid>
      <w:tr w:rsidR="00386D05" w:rsidTr="00386D05">
        <w:trPr>
          <w:jc w:val="center"/>
        </w:trPr>
        <w:tc>
          <w:tcPr>
            <w:tcW w:w="1242" w:type="dxa"/>
            <w:vAlign w:val="center"/>
          </w:tcPr>
          <w:p w:rsidR="00386D05" w:rsidRPr="00386D05" w:rsidRDefault="00386D05" w:rsidP="003A56D0">
            <w:pPr>
              <w:jc w:val="center"/>
              <w:rPr>
                <w:b/>
                <w:bCs/>
                <w:sz w:val="30"/>
                <w:szCs w:val="30"/>
              </w:rPr>
            </w:pPr>
            <w:r w:rsidRPr="00386D05">
              <w:rPr>
                <w:rFonts w:hint="eastAsia"/>
                <w:b/>
                <w:bCs/>
                <w:sz w:val="30"/>
                <w:szCs w:val="30"/>
              </w:rPr>
              <w:t>序号</w:t>
            </w:r>
          </w:p>
        </w:tc>
        <w:tc>
          <w:tcPr>
            <w:tcW w:w="1843" w:type="dxa"/>
            <w:vAlign w:val="center"/>
          </w:tcPr>
          <w:p w:rsidR="00386D05" w:rsidRPr="00386D05" w:rsidRDefault="00386D05" w:rsidP="003A56D0">
            <w:pPr>
              <w:jc w:val="center"/>
              <w:rPr>
                <w:b/>
                <w:bCs/>
                <w:sz w:val="30"/>
                <w:szCs w:val="30"/>
              </w:rPr>
            </w:pPr>
            <w:r w:rsidRPr="00386D05">
              <w:rPr>
                <w:rFonts w:hint="eastAsia"/>
                <w:b/>
                <w:bCs/>
                <w:sz w:val="30"/>
                <w:szCs w:val="30"/>
              </w:rPr>
              <w:t>姓名</w:t>
            </w:r>
          </w:p>
        </w:tc>
        <w:tc>
          <w:tcPr>
            <w:tcW w:w="7938" w:type="dxa"/>
            <w:vAlign w:val="center"/>
          </w:tcPr>
          <w:p w:rsidR="00386D05" w:rsidRPr="00386D05" w:rsidRDefault="00386D05" w:rsidP="003A56D0">
            <w:pPr>
              <w:jc w:val="center"/>
              <w:rPr>
                <w:b/>
                <w:bCs/>
                <w:sz w:val="30"/>
                <w:szCs w:val="30"/>
              </w:rPr>
            </w:pPr>
            <w:r w:rsidRPr="00386D05">
              <w:rPr>
                <w:rFonts w:hint="eastAsia"/>
                <w:b/>
                <w:bCs/>
                <w:sz w:val="30"/>
                <w:szCs w:val="30"/>
              </w:rPr>
              <w:t>单位</w:t>
            </w:r>
          </w:p>
        </w:tc>
        <w:tc>
          <w:tcPr>
            <w:tcW w:w="2410" w:type="dxa"/>
            <w:vAlign w:val="center"/>
          </w:tcPr>
          <w:p w:rsidR="00386D05" w:rsidRPr="00386D05" w:rsidRDefault="00386D05" w:rsidP="003A56D0">
            <w:pPr>
              <w:jc w:val="center"/>
              <w:rPr>
                <w:b/>
                <w:bCs/>
                <w:sz w:val="30"/>
                <w:szCs w:val="30"/>
              </w:rPr>
            </w:pPr>
            <w:r w:rsidRPr="00386D05">
              <w:rPr>
                <w:rFonts w:hint="eastAsia"/>
                <w:b/>
                <w:bCs/>
                <w:sz w:val="30"/>
                <w:szCs w:val="30"/>
              </w:rPr>
              <w:t>联系电话</w:t>
            </w:r>
          </w:p>
        </w:tc>
        <w:tc>
          <w:tcPr>
            <w:tcW w:w="1461" w:type="dxa"/>
            <w:vAlign w:val="center"/>
          </w:tcPr>
          <w:p w:rsidR="00386D05" w:rsidRPr="00386D05" w:rsidRDefault="00386D05" w:rsidP="003A56D0">
            <w:pPr>
              <w:jc w:val="center"/>
              <w:rPr>
                <w:b/>
                <w:bCs/>
                <w:sz w:val="30"/>
                <w:szCs w:val="30"/>
              </w:rPr>
            </w:pPr>
            <w:r w:rsidRPr="00386D05">
              <w:rPr>
                <w:rFonts w:hint="eastAsia"/>
                <w:b/>
                <w:bCs/>
                <w:sz w:val="30"/>
                <w:szCs w:val="30"/>
              </w:rPr>
              <w:t>备注</w:t>
            </w:r>
          </w:p>
        </w:tc>
      </w:tr>
      <w:tr w:rsidR="00386D05" w:rsidTr="00386D05">
        <w:trPr>
          <w:jc w:val="center"/>
        </w:trPr>
        <w:tc>
          <w:tcPr>
            <w:tcW w:w="1242" w:type="dxa"/>
            <w:vAlign w:val="center"/>
          </w:tcPr>
          <w:p w:rsidR="00386D05" w:rsidRDefault="00386D05" w:rsidP="003A56D0">
            <w:pPr>
              <w:jc w:val="center"/>
              <w:rPr>
                <w:b/>
                <w:bCs/>
                <w:sz w:val="44"/>
                <w:szCs w:val="44"/>
              </w:rPr>
            </w:pPr>
          </w:p>
        </w:tc>
        <w:tc>
          <w:tcPr>
            <w:tcW w:w="1843" w:type="dxa"/>
            <w:vAlign w:val="center"/>
          </w:tcPr>
          <w:p w:rsidR="00386D05" w:rsidRDefault="00386D05" w:rsidP="003A56D0">
            <w:pPr>
              <w:jc w:val="center"/>
              <w:rPr>
                <w:b/>
                <w:bCs/>
                <w:sz w:val="44"/>
                <w:szCs w:val="44"/>
              </w:rPr>
            </w:pPr>
          </w:p>
        </w:tc>
        <w:tc>
          <w:tcPr>
            <w:tcW w:w="7938" w:type="dxa"/>
            <w:vAlign w:val="center"/>
          </w:tcPr>
          <w:p w:rsidR="00386D05" w:rsidRDefault="00386D05" w:rsidP="003A56D0">
            <w:pPr>
              <w:jc w:val="center"/>
              <w:rPr>
                <w:b/>
                <w:bCs/>
                <w:sz w:val="44"/>
                <w:szCs w:val="44"/>
              </w:rPr>
            </w:pPr>
          </w:p>
        </w:tc>
        <w:tc>
          <w:tcPr>
            <w:tcW w:w="2410" w:type="dxa"/>
            <w:vAlign w:val="center"/>
          </w:tcPr>
          <w:p w:rsidR="00386D05" w:rsidRDefault="00386D05" w:rsidP="003A56D0">
            <w:pPr>
              <w:jc w:val="center"/>
              <w:rPr>
                <w:b/>
                <w:bCs/>
                <w:sz w:val="44"/>
                <w:szCs w:val="44"/>
              </w:rPr>
            </w:pPr>
          </w:p>
        </w:tc>
        <w:tc>
          <w:tcPr>
            <w:tcW w:w="1461" w:type="dxa"/>
            <w:vAlign w:val="center"/>
          </w:tcPr>
          <w:p w:rsidR="00386D05" w:rsidRDefault="00386D05" w:rsidP="003A56D0">
            <w:pPr>
              <w:jc w:val="center"/>
              <w:rPr>
                <w:b/>
                <w:bCs/>
                <w:sz w:val="44"/>
                <w:szCs w:val="44"/>
              </w:rPr>
            </w:pPr>
          </w:p>
        </w:tc>
      </w:tr>
      <w:tr w:rsidR="00386D05" w:rsidTr="00386D05">
        <w:trPr>
          <w:jc w:val="center"/>
        </w:trPr>
        <w:tc>
          <w:tcPr>
            <w:tcW w:w="1242" w:type="dxa"/>
            <w:vAlign w:val="center"/>
          </w:tcPr>
          <w:p w:rsidR="00386D05" w:rsidRDefault="00386D05" w:rsidP="003A56D0">
            <w:pPr>
              <w:jc w:val="center"/>
              <w:rPr>
                <w:b/>
                <w:bCs/>
                <w:sz w:val="44"/>
                <w:szCs w:val="44"/>
              </w:rPr>
            </w:pPr>
          </w:p>
        </w:tc>
        <w:tc>
          <w:tcPr>
            <w:tcW w:w="1843" w:type="dxa"/>
            <w:vAlign w:val="center"/>
          </w:tcPr>
          <w:p w:rsidR="00386D05" w:rsidRDefault="00386D05" w:rsidP="003A56D0">
            <w:pPr>
              <w:jc w:val="center"/>
              <w:rPr>
                <w:b/>
                <w:bCs/>
                <w:sz w:val="44"/>
                <w:szCs w:val="44"/>
              </w:rPr>
            </w:pPr>
          </w:p>
        </w:tc>
        <w:tc>
          <w:tcPr>
            <w:tcW w:w="7938" w:type="dxa"/>
            <w:vAlign w:val="center"/>
          </w:tcPr>
          <w:p w:rsidR="00386D05" w:rsidRDefault="00386D05" w:rsidP="003A56D0">
            <w:pPr>
              <w:jc w:val="center"/>
              <w:rPr>
                <w:b/>
                <w:bCs/>
                <w:sz w:val="44"/>
                <w:szCs w:val="44"/>
              </w:rPr>
            </w:pPr>
          </w:p>
        </w:tc>
        <w:tc>
          <w:tcPr>
            <w:tcW w:w="2410" w:type="dxa"/>
            <w:vAlign w:val="center"/>
          </w:tcPr>
          <w:p w:rsidR="00386D05" w:rsidRDefault="00386D05" w:rsidP="003A56D0">
            <w:pPr>
              <w:jc w:val="center"/>
              <w:rPr>
                <w:b/>
                <w:bCs/>
                <w:sz w:val="44"/>
                <w:szCs w:val="44"/>
              </w:rPr>
            </w:pPr>
          </w:p>
        </w:tc>
        <w:tc>
          <w:tcPr>
            <w:tcW w:w="1461" w:type="dxa"/>
            <w:vAlign w:val="center"/>
          </w:tcPr>
          <w:p w:rsidR="00386D05" w:rsidRDefault="00386D05" w:rsidP="003A56D0">
            <w:pPr>
              <w:jc w:val="center"/>
              <w:rPr>
                <w:b/>
                <w:bCs/>
                <w:sz w:val="44"/>
                <w:szCs w:val="44"/>
              </w:rPr>
            </w:pPr>
          </w:p>
        </w:tc>
      </w:tr>
      <w:tr w:rsidR="00386D05" w:rsidTr="00386D05">
        <w:trPr>
          <w:jc w:val="center"/>
        </w:trPr>
        <w:tc>
          <w:tcPr>
            <w:tcW w:w="1242" w:type="dxa"/>
            <w:vAlign w:val="center"/>
          </w:tcPr>
          <w:p w:rsidR="00386D05" w:rsidRDefault="00386D05" w:rsidP="003A56D0">
            <w:pPr>
              <w:jc w:val="center"/>
              <w:rPr>
                <w:b/>
                <w:bCs/>
                <w:sz w:val="44"/>
                <w:szCs w:val="44"/>
              </w:rPr>
            </w:pPr>
          </w:p>
        </w:tc>
        <w:tc>
          <w:tcPr>
            <w:tcW w:w="1843" w:type="dxa"/>
            <w:vAlign w:val="center"/>
          </w:tcPr>
          <w:p w:rsidR="00386D05" w:rsidRDefault="00386D05" w:rsidP="003A56D0">
            <w:pPr>
              <w:jc w:val="center"/>
              <w:rPr>
                <w:b/>
                <w:bCs/>
                <w:sz w:val="44"/>
                <w:szCs w:val="44"/>
              </w:rPr>
            </w:pPr>
          </w:p>
        </w:tc>
        <w:tc>
          <w:tcPr>
            <w:tcW w:w="7938" w:type="dxa"/>
            <w:vAlign w:val="center"/>
          </w:tcPr>
          <w:p w:rsidR="00386D05" w:rsidRDefault="00386D05" w:rsidP="003A56D0">
            <w:pPr>
              <w:jc w:val="center"/>
              <w:rPr>
                <w:b/>
                <w:bCs/>
                <w:sz w:val="44"/>
                <w:szCs w:val="44"/>
              </w:rPr>
            </w:pPr>
          </w:p>
        </w:tc>
        <w:tc>
          <w:tcPr>
            <w:tcW w:w="2410" w:type="dxa"/>
            <w:vAlign w:val="center"/>
          </w:tcPr>
          <w:p w:rsidR="00386D05" w:rsidRDefault="00386D05" w:rsidP="003A56D0">
            <w:pPr>
              <w:jc w:val="center"/>
              <w:rPr>
                <w:b/>
                <w:bCs/>
                <w:sz w:val="44"/>
                <w:szCs w:val="44"/>
              </w:rPr>
            </w:pPr>
          </w:p>
        </w:tc>
        <w:tc>
          <w:tcPr>
            <w:tcW w:w="1461" w:type="dxa"/>
            <w:vAlign w:val="center"/>
          </w:tcPr>
          <w:p w:rsidR="00386D05" w:rsidRDefault="00386D05" w:rsidP="003A56D0">
            <w:pPr>
              <w:jc w:val="center"/>
              <w:rPr>
                <w:b/>
                <w:bCs/>
                <w:sz w:val="44"/>
                <w:szCs w:val="44"/>
              </w:rPr>
            </w:pPr>
          </w:p>
        </w:tc>
      </w:tr>
      <w:tr w:rsidR="00386D05" w:rsidTr="00386D05">
        <w:trPr>
          <w:jc w:val="center"/>
        </w:trPr>
        <w:tc>
          <w:tcPr>
            <w:tcW w:w="1242" w:type="dxa"/>
            <w:vAlign w:val="center"/>
          </w:tcPr>
          <w:p w:rsidR="00386D05" w:rsidRDefault="00386D05" w:rsidP="003A56D0">
            <w:pPr>
              <w:jc w:val="center"/>
              <w:rPr>
                <w:b/>
                <w:bCs/>
                <w:sz w:val="44"/>
                <w:szCs w:val="44"/>
              </w:rPr>
            </w:pPr>
          </w:p>
        </w:tc>
        <w:tc>
          <w:tcPr>
            <w:tcW w:w="1843" w:type="dxa"/>
            <w:vAlign w:val="center"/>
          </w:tcPr>
          <w:p w:rsidR="00386D05" w:rsidRDefault="00386D05" w:rsidP="003A56D0">
            <w:pPr>
              <w:jc w:val="center"/>
              <w:rPr>
                <w:b/>
                <w:bCs/>
                <w:sz w:val="44"/>
                <w:szCs w:val="44"/>
              </w:rPr>
            </w:pPr>
          </w:p>
        </w:tc>
        <w:tc>
          <w:tcPr>
            <w:tcW w:w="7938" w:type="dxa"/>
            <w:vAlign w:val="center"/>
          </w:tcPr>
          <w:p w:rsidR="00386D05" w:rsidRDefault="00386D05" w:rsidP="003A56D0">
            <w:pPr>
              <w:jc w:val="center"/>
              <w:rPr>
                <w:b/>
                <w:bCs/>
                <w:sz w:val="44"/>
                <w:szCs w:val="44"/>
              </w:rPr>
            </w:pPr>
          </w:p>
        </w:tc>
        <w:tc>
          <w:tcPr>
            <w:tcW w:w="2410" w:type="dxa"/>
            <w:vAlign w:val="center"/>
          </w:tcPr>
          <w:p w:rsidR="00386D05" w:rsidRDefault="00386D05" w:rsidP="003A56D0">
            <w:pPr>
              <w:jc w:val="center"/>
              <w:rPr>
                <w:b/>
                <w:bCs/>
                <w:sz w:val="44"/>
                <w:szCs w:val="44"/>
              </w:rPr>
            </w:pPr>
          </w:p>
        </w:tc>
        <w:tc>
          <w:tcPr>
            <w:tcW w:w="1461" w:type="dxa"/>
            <w:vAlign w:val="center"/>
          </w:tcPr>
          <w:p w:rsidR="00386D05" w:rsidRDefault="00386D05" w:rsidP="003A56D0">
            <w:pPr>
              <w:jc w:val="center"/>
              <w:rPr>
                <w:b/>
                <w:bCs/>
                <w:sz w:val="44"/>
                <w:szCs w:val="44"/>
              </w:rPr>
            </w:pPr>
          </w:p>
        </w:tc>
      </w:tr>
      <w:tr w:rsidR="00386D05" w:rsidTr="00386D05">
        <w:trPr>
          <w:jc w:val="center"/>
        </w:trPr>
        <w:tc>
          <w:tcPr>
            <w:tcW w:w="1242" w:type="dxa"/>
            <w:vAlign w:val="center"/>
          </w:tcPr>
          <w:p w:rsidR="00386D05" w:rsidRDefault="00386D05" w:rsidP="003A56D0">
            <w:pPr>
              <w:jc w:val="center"/>
              <w:rPr>
                <w:b/>
                <w:bCs/>
                <w:sz w:val="44"/>
                <w:szCs w:val="44"/>
              </w:rPr>
            </w:pPr>
          </w:p>
        </w:tc>
        <w:tc>
          <w:tcPr>
            <w:tcW w:w="1843" w:type="dxa"/>
            <w:vAlign w:val="center"/>
          </w:tcPr>
          <w:p w:rsidR="00386D05" w:rsidRDefault="00386D05" w:rsidP="003A56D0">
            <w:pPr>
              <w:jc w:val="center"/>
              <w:rPr>
                <w:b/>
                <w:bCs/>
                <w:sz w:val="44"/>
                <w:szCs w:val="44"/>
              </w:rPr>
            </w:pPr>
          </w:p>
        </w:tc>
        <w:tc>
          <w:tcPr>
            <w:tcW w:w="7938" w:type="dxa"/>
            <w:vAlign w:val="center"/>
          </w:tcPr>
          <w:p w:rsidR="00386D05" w:rsidRDefault="00386D05" w:rsidP="003A56D0">
            <w:pPr>
              <w:jc w:val="center"/>
              <w:rPr>
                <w:b/>
                <w:bCs/>
                <w:sz w:val="44"/>
                <w:szCs w:val="44"/>
              </w:rPr>
            </w:pPr>
          </w:p>
        </w:tc>
        <w:tc>
          <w:tcPr>
            <w:tcW w:w="2410" w:type="dxa"/>
            <w:vAlign w:val="center"/>
          </w:tcPr>
          <w:p w:rsidR="00386D05" w:rsidRDefault="00386D05" w:rsidP="003A56D0">
            <w:pPr>
              <w:jc w:val="center"/>
              <w:rPr>
                <w:b/>
                <w:bCs/>
                <w:sz w:val="44"/>
                <w:szCs w:val="44"/>
              </w:rPr>
            </w:pPr>
          </w:p>
        </w:tc>
        <w:tc>
          <w:tcPr>
            <w:tcW w:w="1461" w:type="dxa"/>
            <w:vAlign w:val="center"/>
          </w:tcPr>
          <w:p w:rsidR="00386D05" w:rsidRDefault="00386D05" w:rsidP="003A56D0">
            <w:pPr>
              <w:jc w:val="center"/>
              <w:rPr>
                <w:b/>
                <w:bCs/>
                <w:sz w:val="44"/>
                <w:szCs w:val="44"/>
              </w:rPr>
            </w:pPr>
          </w:p>
        </w:tc>
      </w:tr>
      <w:tr w:rsidR="00386D05" w:rsidTr="00386D05">
        <w:trPr>
          <w:jc w:val="center"/>
        </w:trPr>
        <w:tc>
          <w:tcPr>
            <w:tcW w:w="1242" w:type="dxa"/>
            <w:vAlign w:val="center"/>
          </w:tcPr>
          <w:p w:rsidR="00386D05" w:rsidRDefault="00386D05" w:rsidP="003A56D0">
            <w:pPr>
              <w:jc w:val="center"/>
              <w:rPr>
                <w:b/>
                <w:bCs/>
                <w:sz w:val="44"/>
                <w:szCs w:val="44"/>
              </w:rPr>
            </w:pPr>
          </w:p>
        </w:tc>
        <w:tc>
          <w:tcPr>
            <w:tcW w:w="1843" w:type="dxa"/>
            <w:vAlign w:val="center"/>
          </w:tcPr>
          <w:p w:rsidR="00386D05" w:rsidRDefault="00386D05" w:rsidP="003A56D0">
            <w:pPr>
              <w:jc w:val="center"/>
              <w:rPr>
                <w:b/>
                <w:bCs/>
                <w:sz w:val="44"/>
                <w:szCs w:val="44"/>
              </w:rPr>
            </w:pPr>
          </w:p>
        </w:tc>
        <w:tc>
          <w:tcPr>
            <w:tcW w:w="7938" w:type="dxa"/>
            <w:vAlign w:val="center"/>
          </w:tcPr>
          <w:p w:rsidR="00386D05" w:rsidRDefault="00386D05" w:rsidP="003A56D0">
            <w:pPr>
              <w:jc w:val="center"/>
              <w:rPr>
                <w:b/>
                <w:bCs/>
                <w:sz w:val="44"/>
                <w:szCs w:val="44"/>
              </w:rPr>
            </w:pPr>
          </w:p>
        </w:tc>
        <w:tc>
          <w:tcPr>
            <w:tcW w:w="2410" w:type="dxa"/>
            <w:vAlign w:val="center"/>
          </w:tcPr>
          <w:p w:rsidR="00386D05" w:rsidRDefault="00386D05" w:rsidP="003A56D0">
            <w:pPr>
              <w:jc w:val="center"/>
              <w:rPr>
                <w:b/>
                <w:bCs/>
                <w:sz w:val="44"/>
                <w:szCs w:val="44"/>
              </w:rPr>
            </w:pPr>
          </w:p>
        </w:tc>
        <w:tc>
          <w:tcPr>
            <w:tcW w:w="1461" w:type="dxa"/>
            <w:vAlign w:val="center"/>
          </w:tcPr>
          <w:p w:rsidR="00386D05" w:rsidRDefault="00386D05" w:rsidP="003A56D0">
            <w:pPr>
              <w:jc w:val="center"/>
              <w:rPr>
                <w:b/>
                <w:bCs/>
                <w:sz w:val="44"/>
                <w:szCs w:val="44"/>
              </w:rPr>
            </w:pPr>
          </w:p>
        </w:tc>
      </w:tr>
    </w:tbl>
    <w:p w:rsidR="00694A2B" w:rsidRPr="00386D05" w:rsidRDefault="00694A2B" w:rsidP="003A56D0">
      <w:pPr>
        <w:jc w:val="center"/>
        <w:rPr>
          <w:b/>
          <w:bCs/>
          <w:sz w:val="44"/>
          <w:szCs w:val="44"/>
        </w:rPr>
      </w:pPr>
    </w:p>
    <w:sectPr w:rsidR="00694A2B" w:rsidRPr="00386D05">
      <w:footerReference w:type="default" r:id="rId9"/>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435" w:rsidRDefault="00BE5435">
      <w:r>
        <w:separator/>
      </w:r>
    </w:p>
  </w:endnote>
  <w:endnote w:type="continuationSeparator" w:id="0">
    <w:p w:rsidR="00BE5435" w:rsidRDefault="00BE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04451"/>
    </w:sdtPr>
    <w:sdtEndPr/>
    <w:sdtContent>
      <w:p w:rsidR="00C414F3" w:rsidRDefault="000D0CC1">
        <w:pPr>
          <w:pStyle w:val="aa"/>
          <w:jc w:val="center"/>
        </w:pPr>
        <w:r>
          <w:fldChar w:fldCharType="begin"/>
        </w:r>
        <w:r>
          <w:instrText>PAGE   \* MERGEFORMAT</w:instrText>
        </w:r>
        <w:r>
          <w:fldChar w:fldCharType="separate"/>
        </w:r>
        <w:r>
          <w:rPr>
            <w:lang w:val="zh-CN"/>
          </w:rPr>
          <w:t>3</w:t>
        </w:r>
        <w:r>
          <w:fldChar w:fldCharType="end"/>
        </w:r>
      </w:p>
    </w:sdtContent>
  </w:sdt>
  <w:p w:rsidR="00C414F3" w:rsidRDefault="00C414F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57" w:rsidRDefault="00BE54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435" w:rsidRDefault="00BE5435">
      <w:r>
        <w:separator/>
      </w:r>
    </w:p>
  </w:footnote>
  <w:footnote w:type="continuationSeparator" w:id="0">
    <w:p w:rsidR="00BE5435" w:rsidRDefault="00BE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61B464"/>
    <w:multiLevelType w:val="singleLevel"/>
    <w:tmpl w:val="C161B46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B07"/>
    <w:rsid w:val="000005F9"/>
    <w:rsid w:val="0000352D"/>
    <w:rsid w:val="00014E2D"/>
    <w:rsid w:val="00024303"/>
    <w:rsid w:val="00041995"/>
    <w:rsid w:val="000427EE"/>
    <w:rsid w:val="0005237B"/>
    <w:rsid w:val="00065166"/>
    <w:rsid w:val="00065700"/>
    <w:rsid w:val="0007309C"/>
    <w:rsid w:val="00076B34"/>
    <w:rsid w:val="00080736"/>
    <w:rsid w:val="00090B43"/>
    <w:rsid w:val="00095CDC"/>
    <w:rsid w:val="000A0CFA"/>
    <w:rsid w:val="000A51B7"/>
    <w:rsid w:val="000A64D0"/>
    <w:rsid w:val="000A7B2F"/>
    <w:rsid w:val="000B3300"/>
    <w:rsid w:val="000B6C62"/>
    <w:rsid w:val="000B7876"/>
    <w:rsid w:val="000C3A11"/>
    <w:rsid w:val="000D0CC1"/>
    <w:rsid w:val="000D43CC"/>
    <w:rsid w:val="000D7C37"/>
    <w:rsid w:val="000E70A8"/>
    <w:rsid w:val="00106FC9"/>
    <w:rsid w:val="001121F2"/>
    <w:rsid w:val="00126D33"/>
    <w:rsid w:val="001441DB"/>
    <w:rsid w:val="00147A88"/>
    <w:rsid w:val="001606F7"/>
    <w:rsid w:val="00171B13"/>
    <w:rsid w:val="00174143"/>
    <w:rsid w:val="001836FC"/>
    <w:rsid w:val="00190D1E"/>
    <w:rsid w:val="0019252C"/>
    <w:rsid w:val="00192789"/>
    <w:rsid w:val="001934BA"/>
    <w:rsid w:val="001D096B"/>
    <w:rsid w:val="001D4884"/>
    <w:rsid w:val="001E12FD"/>
    <w:rsid w:val="001E4310"/>
    <w:rsid w:val="001F3151"/>
    <w:rsid w:val="00202C9A"/>
    <w:rsid w:val="00204624"/>
    <w:rsid w:val="00207B8F"/>
    <w:rsid w:val="002103B1"/>
    <w:rsid w:val="00213C1E"/>
    <w:rsid w:val="00221EB4"/>
    <w:rsid w:val="00232128"/>
    <w:rsid w:val="002420B7"/>
    <w:rsid w:val="002474D7"/>
    <w:rsid w:val="00281619"/>
    <w:rsid w:val="00292642"/>
    <w:rsid w:val="00295B07"/>
    <w:rsid w:val="002A2967"/>
    <w:rsid w:val="002A4DB9"/>
    <w:rsid w:val="002A6164"/>
    <w:rsid w:val="002A6A36"/>
    <w:rsid w:val="002E4D21"/>
    <w:rsid w:val="002F0CE0"/>
    <w:rsid w:val="002F5C3C"/>
    <w:rsid w:val="00306386"/>
    <w:rsid w:val="00324314"/>
    <w:rsid w:val="0033116A"/>
    <w:rsid w:val="003458B9"/>
    <w:rsid w:val="00347947"/>
    <w:rsid w:val="00352B38"/>
    <w:rsid w:val="00361B92"/>
    <w:rsid w:val="00374015"/>
    <w:rsid w:val="00386D05"/>
    <w:rsid w:val="00392261"/>
    <w:rsid w:val="003938E8"/>
    <w:rsid w:val="0039739E"/>
    <w:rsid w:val="003A14EB"/>
    <w:rsid w:val="003A54B3"/>
    <w:rsid w:val="003A56D0"/>
    <w:rsid w:val="003D0180"/>
    <w:rsid w:val="003E502D"/>
    <w:rsid w:val="00403B09"/>
    <w:rsid w:val="00421D8A"/>
    <w:rsid w:val="00422A2B"/>
    <w:rsid w:val="004276A4"/>
    <w:rsid w:val="00431192"/>
    <w:rsid w:val="00433B70"/>
    <w:rsid w:val="00450F1B"/>
    <w:rsid w:val="00453A2D"/>
    <w:rsid w:val="00455739"/>
    <w:rsid w:val="004A44A6"/>
    <w:rsid w:val="004C0BD4"/>
    <w:rsid w:val="004D4088"/>
    <w:rsid w:val="004E14EC"/>
    <w:rsid w:val="00504CA4"/>
    <w:rsid w:val="005057B4"/>
    <w:rsid w:val="00506651"/>
    <w:rsid w:val="005101DC"/>
    <w:rsid w:val="00524277"/>
    <w:rsid w:val="00536296"/>
    <w:rsid w:val="00544B73"/>
    <w:rsid w:val="00561965"/>
    <w:rsid w:val="00572D5C"/>
    <w:rsid w:val="00574B20"/>
    <w:rsid w:val="00575117"/>
    <w:rsid w:val="00575380"/>
    <w:rsid w:val="005C0C7A"/>
    <w:rsid w:val="005D47A3"/>
    <w:rsid w:val="005E13FA"/>
    <w:rsid w:val="005E3EB2"/>
    <w:rsid w:val="005F281B"/>
    <w:rsid w:val="006010CB"/>
    <w:rsid w:val="006016E0"/>
    <w:rsid w:val="00605622"/>
    <w:rsid w:val="00616643"/>
    <w:rsid w:val="00647D22"/>
    <w:rsid w:val="00662213"/>
    <w:rsid w:val="00667927"/>
    <w:rsid w:val="00694A2B"/>
    <w:rsid w:val="006C0CB4"/>
    <w:rsid w:val="006D0876"/>
    <w:rsid w:val="006D21AA"/>
    <w:rsid w:val="006E709D"/>
    <w:rsid w:val="007049E2"/>
    <w:rsid w:val="007062FA"/>
    <w:rsid w:val="007163A4"/>
    <w:rsid w:val="00774F9F"/>
    <w:rsid w:val="00780B6B"/>
    <w:rsid w:val="007A7AD5"/>
    <w:rsid w:val="007B2D3B"/>
    <w:rsid w:val="007B6191"/>
    <w:rsid w:val="007C2676"/>
    <w:rsid w:val="007C309F"/>
    <w:rsid w:val="007C5231"/>
    <w:rsid w:val="007C5807"/>
    <w:rsid w:val="007D0B67"/>
    <w:rsid w:val="007D6711"/>
    <w:rsid w:val="007E2924"/>
    <w:rsid w:val="007E54F8"/>
    <w:rsid w:val="007E5599"/>
    <w:rsid w:val="007F0035"/>
    <w:rsid w:val="007F1A98"/>
    <w:rsid w:val="007F2CE6"/>
    <w:rsid w:val="008046E8"/>
    <w:rsid w:val="00811FEF"/>
    <w:rsid w:val="00834393"/>
    <w:rsid w:val="00852736"/>
    <w:rsid w:val="00876640"/>
    <w:rsid w:val="008774F0"/>
    <w:rsid w:val="008901BD"/>
    <w:rsid w:val="008930F3"/>
    <w:rsid w:val="008B30D8"/>
    <w:rsid w:val="008C2FF7"/>
    <w:rsid w:val="008C4959"/>
    <w:rsid w:val="008D0AB1"/>
    <w:rsid w:val="008D60FD"/>
    <w:rsid w:val="008E2023"/>
    <w:rsid w:val="008E592E"/>
    <w:rsid w:val="008E6282"/>
    <w:rsid w:val="008E7424"/>
    <w:rsid w:val="00900326"/>
    <w:rsid w:val="009021F0"/>
    <w:rsid w:val="009309DF"/>
    <w:rsid w:val="009517EA"/>
    <w:rsid w:val="00970983"/>
    <w:rsid w:val="00976D7D"/>
    <w:rsid w:val="00997EC5"/>
    <w:rsid w:val="009B4C44"/>
    <w:rsid w:val="009C0537"/>
    <w:rsid w:val="009E4F2A"/>
    <w:rsid w:val="009F6467"/>
    <w:rsid w:val="00A0142B"/>
    <w:rsid w:val="00A36FC6"/>
    <w:rsid w:val="00A54194"/>
    <w:rsid w:val="00A9345E"/>
    <w:rsid w:val="00AA66B1"/>
    <w:rsid w:val="00AA7589"/>
    <w:rsid w:val="00AC59A6"/>
    <w:rsid w:val="00AC6B20"/>
    <w:rsid w:val="00AC73F8"/>
    <w:rsid w:val="00B01231"/>
    <w:rsid w:val="00B16F17"/>
    <w:rsid w:val="00B21054"/>
    <w:rsid w:val="00B21C67"/>
    <w:rsid w:val="00B26C74"/>
    <w:rsid w:val="00B438A8"/>
    <w:rsid w:val="00B85659"/>
    <w:rsid w:val="00B96955"/>
    <w:rsid w:val="00BB5C76"/>
    <w:rsid w:val="00BE008F"/>
    <w:rsid w:val="00BE5435"/>
    <w:rsid w:val="00BF5409"/>
    <w:rsid w:val="00C01694"/>
    <w:rsid w:val="00C26259"/>
    <w:rsid w:val="00C360C1"/>
    <w:rsid w:val="00C414F3"/>
    <w:rsid w:val="00C5431C"/>
    <w:rsid w:val="00C55700"/>
    <w:rsid w:val="00C74341"/>
    <w:rsid w:val="00C91754"/>
    <w:rsid w:val="00C9267E"/>
    <w:rsid w:val="00C92E4F"/>
    <w:rsid w:val="00C952AF"/>
    <w:rsid w:val="00C95DDB"/>
    <w:rsid w:val="00CA1DB5"/>
    <w:rsid w:val="00CA7DFD"/>
    <w:rsid w:val="00CB6267"/>
    <w:rsid w:val="00CC4C00"/>
    <w:rsid w:val="00CD769F"/>
    <w:rsid w:val="00CF155F"/>
    <w:rsid w:val="00D04D64"/>
    <w:rsid w:val="00D41604"/>
    <w:rsid w:val="00D43CA0"/>
    <w:rsid w:val="00D4758F"/>
    <w:rsid w:val="00D55929"/>
    <w:rsid w:val="00D67D5B"/>
    <w:rsid w:val="00D70F59"/>
    <w:rsid w:val="00D82FB1"/>
    <w:rsid w:val="00D8588E"/>
    <w:rsid w:val="00DC3252"/>
    <w:rsid w:val="00DC431D"/>
    <w:rsid w:val="00DD53EF"/>
    <w:rsid w:val="00DD5A22"/>
    <w:rsid w:val="00DE1CA1"/>
    <w:rsid w:val="00DE2702"/>
    <w:rsid w:val="00DF77B8"/>
    <w:rsid w:val="00E1126E"/>
    <w:rsid w:val="00E1361D"/>
    <w:rsid w:val="00E1514C"/>
    <w:rsid w:val="00E24F61"/>
    <w:rsid w:val="00E46923"/>
    <w:rsid w:val="00E46ECA"/>
    <w:rsid w:val="00E47105"/>
    <w:rsid w:val="00E5062D"/>
    <w:rsid w:val="00E541D4"/>
    <w:rsid w:val="00E701CA"/>
    <w:rsid w:val="00E74258"/>
    <w:rsid w:val="00E7568E"/>
    <w:rsid w:val="00E816FE"/>
    <w:rsid w:val="00E85581"/>
    <w:rsid w:val="00E90C29"/>
    <w:rsid w:val="00E926D1"/>
    <w:rsid w:val="00E95A2F"/>
    <w:rsid w:val="00E96602"/>
    <w:rsid w:val="00EA1A93"/>
    <w:rsid w:val="00EA4F5E"/>
    <w:rsid w:val="00EA792E"/>
    <w:rsid w:val="00EA7FB2"/>
    <w:rsid w:val="00EB0704"/>
    <w:rsid w:val="00EB21ED"/>
    <w:rsid w:val="00EB3BAE"/>
    <w:rsid w:val="00EC6E91"/>
    <w:rsid w:val="00EE4AAA"/>
    <w:rsid w:val="00EE4B8E"/>
    <w:rsid w:val="00EE7B7C"/>
    <w:rsid w:val="00EF20A9"/>
    <w:rsid w:val="00EF74C5"/>
    <w:rsid w:val="00F13F21"/>
    <w:rsid w:val="00F22E09"/>
    <w:rsid w:val="00F300E2"/>
    <w:rsid w:val="00F33540"/>
    <w:rsid w:val="00F3500A"/>
    <w:rsid w:val="00F36EF1"/>
    <w:rsid w:val="00F514CC"/>
    <w:rsid w:val="00F6698C"/>
    <w:rsid w:val="00F74EBD"/>
    <w:rsid w:val="00F77D14"/>
    <w:rsid w:val="00F80D65"/>
    <w:rsid w:val="00FA624A"/>
    <w:rsid w:val="00FC3857"/>
    <w:rsid w:val="00FC72EF"/>
    <w:rsid w:val="00FE0E0A"/>
    <w:rsid w:val="00FE20AF"/>
    <w:rsid w:val="01223985"/>
    <w:rsid w:val="01645A1E"/>
    <w:rsid w:val="03E13573"/>
    <w:rsid w:val="04AF485F"/>
    <w:rsid w:val="05B46E86"/>
    <w:rsid w:val="06333482"/>
    <w:rsid w:val="0665373B"/>
    <w:rsid w:val="06786A2A"/>
    <w:rsid w:val="06A02FF1"/>
    <w:rsid w:val="0A181A63"/>
    <w:rsid w:val="0DC14AB3"/>
    <w:rsid w:val="10377C67"/>
    <w:rsid w:val="134C68C4"/>
    <w:rsid w:val="13C1118B"/>
    <w:rsid w:val="149439DE"/>
    <w:rsid w:val="17070360"/>
    <w:rsid w:val="18321842"/>
    <w:rsid w:val="18400398"/>
    <w:rsid w:val="1D08669B"/>
    <w:rsid w:val="1E9B5865"/>
    <w:rsid w:val="1EF54302"/>
    <w:rsid w:val="1F0C58F3"/>
    <w:rsid w:val="1FA81891"/>
    <w:rsid w:val="21C454F5"/>
    <w:rsid w:val="23345F41"/>
    <w:rsid w:val="23BF221E"/>
    <w:rsid w:val="241463BD"/>
    <w:rsid w:val="24425077"/>
    <w:rsid w:val="263555EE"/>
    <w:rsid w:val="26D13AC1"/>
    <w:rsid w:val="276A17DC"/>
    <w:rsid w:val="28144646"/>
    <w:rsid w:val="28FF62EE"/>
    <w:rsid w:val="2A1C2AA7"/>
    <w:rsid w:val="2A3411D8"/>
    <w:rsid w:val="2C4A5F28"/>
    <w:rsid w:val="302D45AE"/>
    <w:rsid w:val="31CE30A7"/>
    <w:rsid w:val="3236450F"/>
    <w:rsid w:val="33377BD6"/>
    <w:rsid w:val="334C5D10"/>
    <w:rsid w:val="34F8433B"/>
    <w:rsid w:val="35B00A0F"/>
    <w:rsid w:val="3676513A"/>
    <w:rsid w:val="37DC2823"/>
    <w:rsid w:val="393D7145"/>
    <w:rsid w:val="3C1C516C"/>
    <w:rsid w:val="3D172ACB"/>
    <w:rsid w:val="3D8C57EF"/>
    <w:rsid w:val="3F0C5390"/>
    <w:rsid w:val="41895199"/>
    <w:rsid w:val="43057B4D"/>
    <w:rsid w:val="47EF116F"/>
    <w:rsid w:val="486F2032"/>
    <w:rsid w:val="489442C4"/>
    <w:rsid w:val="48C26CA1"/>
    <w:rsid w:val="49FE1F9A"/>
    <w:rsid w:val="4B605608"/>
    <w:rsid w:val="4CB41215"/>
    <w:rsid w:val="4D31233C"/>
    <w:rsid w:val="522A760C"/>
    <w:rsid w:val="53AB51FF"/>
    <w:rsid w:val="555C14EC"/>
    <w:rsid w:val="55CA5B25"/>
    <w:rsid w:val="5603524F"/>
    <w:rsid w:val="56AF59B1"/>
    <w:rsid w:val="586F7B9A"/>
    <w:rsid w:val="58C4070D"/>
    <w:rsid w:val="58DB7DA7"/>
    <w:rsid w:val="5B0362EC"/>
    <w:rsid w:val="5B5F571E"/>
    <w:rsid w:val="5E7563A4"/>
    <w:rsid w:val="5EA453EF"/>
    <w:rsid w:val="5F036F66"/>
    <w:rsid w:val="5F296167"/>
    <w:rsid w:val="5F9240CD"/>
    <w:rsid w:val="604366F1"/>
    <w:rsid w:val="612D275A"/>
    <w:rsid w:val="61CD29C9"/>
    <w:rsid w:val="61FF0C10"/>
    <w:rsid w:val="63A75637"/>
    <w:rsid w:val="64AB0BFF"/>
    <w:rsid w:val="6710582F"/>
    <w:rsid w:val="672F1193"/>
    <w:rsid w:val="691D7F60"/>
    <w:rsid w:val="69460395"/>
    <w:rsid w:val="6A1B1897"/>
    <w:rsid w:val="6BF40C5F"/>
    <w:rsid w:val="6CF13DE4"/>
    <w:rsid w:val="6F535CE6"/>
    <w:rsid w:val="6FAE2CC6"/>
    <w:rsid w:val="705D768E"/>
    <w:rsid w:val="71CD45BF"/>
    <w:rsid w:val="724A4A52"/>
    <w:rsid w:val="726021C0"/>
    <w:rsid w:val="744F3168"/>
    <w:rsid w:val="77A33D89"/>
    <w:rsid w:val="78B94623"/>
    <w:rsid w:val="78EB7F08"/>
    <w:rsid w:val="7A0514F5"/>
    <w:rsid w:val="7AF0051E"/>
    <w:rsid w:val="7B4A50D9"/>
    <w:rsid w:val="7BDB4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51FB8"/>
  <w15:docId w15:val="{16C832EE-BD1D-4BD9-8972-C90CD44C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2"/>
    <w:qFormat/>
    <w:pPr>
      <w:widowControl w:val="0"/>
      <w:jc w:val="both"/>
    </w:pPr>
    <w:rPr>
      <w:rFonts w:ascii="等线" w:eastAsia="等线" w:hAnsi="等线"/>
      <w:kern w:val="2"/>
      <w:sz w:val="21"/>
      <w:szCs w:val="22"/>
    </w:rPr>
  </w:style>
  <w:style w:type="paragraph" w:styleId="3">
    <w:name w:val="heading 3"/>
    <w:basedOn w:val="a"/>
    <w:next w:val="a"/>
    <w:link w:val="30"/>
    <w:uiPriority w:val="99"/>
    <w:qFormat/>
    <w:pPr>
      <w:spacing w:line="480" w:lineRule="atLeast"/>
      <w:outlineLvl w:val="2"/>
    </w:pPr>
    <w:rPr>
      <w:rFonts w:ascii="宋体" w:eastAsia="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qFormat/>
    <w:locked/>
    <w:pPr>
      <w:spacing w:line="500" w:lineRule="exact"/>
      <w:ind w:left="420" w:hangingChars="175" w:hanging="420"/>
    </w:pPr>
    <w:rPr>
      <w:rFonts w:ascii="宋体" w:hAnsi="宋体"/>
      <w:sz w:val="24"/>
    </w:rPr>
  </w:style>
  <w:style w:type="paragraph" w:styleId="a3">
    <w:name w:val="Normal Indent"/>
    <w:basedOn w:val="a"/>
    <w:uiPriority w:val="99"/>
    <w:semiHidden/>
    <w:qFormat/>
    <w:pPr>
      <w:ind w:firstLineChars="200" w:firstLine="420"/>
    </w:pPr>
    <w:rPr>
      <w:rFonts w:eastAsia="宋体"/>
      <w:szCs w:val="24"/>
    </w:rPr>
  </w:style>
  <w:style w:type="paragraph" w:styleId="a4">
    <w:name w:val="annotation text"/>
    <w:basedOn w:val="a"/>
    <w:link w:val="a5"/>
    <w:uiPriority w:val="99"/>
    <w:qFormat/>
    <w:pPr>
      <w:jc w:val="left"/>
    </w:pPr>
  </w:style>
  <w:style w:type="paragraph" w:styleId="a6">
    <w:name w:val="Body Text"/>
    <w:basedOn w:val="a"/>
    <w:uiPriority w:val="99"/>
    <w:unhideWhenUsed/>
    <w:qFormat/>
    <w:pPr>
      <w:spacing w:after="120"/>
    </w:pPr>
  </w:style>
  <w:style w:type="paragraph" w:styleId="a7">
    <w:name w:val="Body Text Indent"/>
    <w:basedOn w:val="a"/>
    <w:qFormat/>
    <w:pPr>
      <w:spacing w:line="400" w:lineRule="exact"/>
      <w:ind w:firstLineChars="200" w:firstLine="560"/>
    </w:pPr>
    <w:rPr>
      <w:rFonts w:ascii="方正仿宋简体" w:eastAsia="方正仿宋简体"/>
      <w:sz w:val="28"/>
      <w:szCs w:val="20"/>
    </w:rPr>
  </w:style>
  <w:style w:type="paragraph" w:styleId="a8">
    <w:name w:val="Balloon Text"/>
    <w:basedOn w:val="a"/>
    <w:link w:val="a9"/>
    <w:uiPriority w:val="99"/>
    <w:qFormat/>
    <w:rPr>
      <w:sz w:val="18"/>
      <w:szCs w:val="18"/>
    </w:rPr>
  </w:style>
  <w:style w:type="paragraph" w:styleId="aa">
    <w:name w:val="footer"/>
    <w:basedOn w:val="a"/>
    <w:next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4"/>
    <w:next w:val="a4"/>
    <w:link w:val="af"/>
    <w:uiPriority w:val="99"/>
    <w:qFormat/>
    <w:rPr>
      <w:b/>
      <w:bCs/>
    </w:rPr>
  </w:style>
  <w:style w:type="paragraph" w:styleId="2">
    <w:name w:val="Body Text First Indent 2"/>
    <w:basedOn w:val="a7"/>
    <w:qFormat/>
    <w:pPr>
      <w:spacing w:after="120"/>
      <w:ind w:leftChars="200" w:left="420" w:firstLine="420"/>
    </w:pPr>
    <w:rPr>
      <w:rFonts w:ascii="Times New Roman" w:eastAsia="宋体"/>
    </w:rPr>
  </w:style>
  <w:style w:type="table" w:styleId="af0">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qFormat/>
    <w:rPr>
      <w:rFonts w:cs="Times New Roman"/>
      <w:sz w:val="21"/>
      <w:szCs w:val="21"/>
    </w:rPr>
  </w:style>
  <w:style w:type="character" w:customStyle="1" w:styleId="30">
    <w:name w:val="标题 3 字符"/>
    <w:basedOn w:val="a0"/>
    <w:link w:val="3"/>
    <w:uiPriority w:val="99"/>
    <w:qFormat/>
    <w:locked/>
    <w:rPr>
      <w:rFonts w:ascii="宋体" w:eastAsia="宋体" w:hAnsi="宋体" w:cs="Times New Roman"/>
      <w:sz w:val="24"/>
      <w:szCs w:val="24"/>
    </w:rPr>
  </w:style>
  <w:style w:type="character" w:customStyle="1" w:styleId="a5">
    <w:name w:val="批注文字 字符"/>
    <w:basedOn w:val="a0"/>
    <w:link w:val="a4"/>
    <w:uiPriority w:val="99"/>
    <w:semiHidden/>
    <w:qFormat/>
    <w:locked/>
    <w:rPr>
      <w:rFonts w:cs="Times New Roman"/>
    </w:rPr>
  </w:style>
  <w:style w:type="character" w:customStyle="1" w:styleId="af">
    <w:name w:val="批注主题 字符"/>
    <w:basedOn w:val="a5"/>
    <w:link w:val="ae"/>
    <w:uiPriority w:val="99"/>
    <w:semiHidden/>
    <w:qFormat/>
    <w:locked/>
    <w:rPr>
      <w:rFonts w:cs="Times New Roman"/>
      <w:b/>
      <w:bCs/>
    </w:rPr>
  </w:style>
  <w:style w:type="character" w:customStyle="1" w:styleId="a9">
    <w:name w:val="批注框文本 字符"/>
    <w:basedOn w:val="a0"/>
    <w:link w:val="a8"/>
    <w:uiPriority w:val="99"/>
    <w:semiHidden/>
    <w:qFormat/>
    <w:locked/>
    <w:rPr>
      <w:rFonts w:cs="Times New Roman"/>
      <w:sz w:val="18"/>
      <w:szCs w:val="18"/>
    </w:rPr>
  </w:style>
  <w:style w:type="character" w:customStyle="1" w:styleId="ab">
    <w:name w:val="页脚 字符"/>
    <w:basedOn w:val="a0"/>
    <w:link w:val="aa"/>
    <w:uiPriority w:val="99"/>
    <w:qFormat/>
    <w:locked/>
    <w:rPr>
      <w:rFonts w:cs="Times New Roman"/>
      <w:sz w:val="18"/>
      <w:szCs w:val="18"/>
    </w:rPr>
  </w:style>
  <w:style w:type="character" w:customStyle="1" w:styleId="ad">
    <w:name w:val="页眉 字符"/>
    <w:basedOn w:val="a0"/>
    <w:link w:val="ac"/>
    <w:uiPriority w:val="99"/>
    <w:qFormat/>
    <w:locked/>
    <w:rPr>
      <w:rFonts w:cs="Times New Roman"/>
      <w:sz w:val="18"/>
      <w:szCs w:val="18"/>
    </w:rPr>
  </w:style>
  <w:style w:type="character" w:customStyle="1" w:styleId="2CharChar">
    <w:name w:val="正文2 Char Char"/>
    <w:basedOn w:val="a0"/>
    <w:link w:val="20"/>
    <w:uiPriority w:val="99"/>
    <w:qFormat/>
    <w:locked/>
    <w:rPr>
      <w:rFonts w:cs="Times New Roman"/>
      <w:spacing w:val="18"/>
      <w:kern w:val="2"/>
      <w:sz w:val="22"/>
      <w:szCs w:val="22"/>
      <w:lang w:val="en-US" w:eastAsia="zh-CN" w:bidi="ar-SA"/>
    </w:rPr>
  </w:style>
  <w:style w:type="paragraph" w:customStyle="1" w:styleId="20">
    <w:name w:val="正文2"/>
    <w:link w:val="2CharChar"/>
    <w:uiPriority w:val="99"/>
    <w:qFormat/>
    <w:pPr>
      <w:widowControl w:val="0"/>
      <w:suppressAutoHyphens/>
      <w:spacing w:line="520" w:lineRule="atLeast"/>
      <w:ind w:firstLine="680"/>
      <w:jc w:val="both"/>
    </w:pPr>
    <w:rPr>
      <w:rFonts w:ascii="等线" w:eastAsia="等线" w:hAnsi="等线"/>
      <w:spacing w:val="18"/>
      <w:kern w:val="2"/>
      <w:sz w:val="32"/>
      <w:szCs w:val="22"/>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styleId="af2">
    <w:name w:val="List Paragraph"/>
    <w:basedOn w:val="a"/>
    <w:uiPriority w:val="99"/>
    <w:qFormat/>
    <w:pPr>
      <w:ind w:firstLineChars="200" w:firstLine="420"/>
    </w:pPr>
  </w:style>
  <w:style w:type="paragraph" w:customStyle="1" w:styleId="af3">
    <w:name w:val="五号表格"/>
    <w:basedOn w:val="a"/>
    <w:uiPriority w:val="99"/>
    <w:qFormat/>
    <w:pPr>
      <w:jc w:val="center"/>
    </w:pPr>
    <w:rPr>
      <w:rFonts w:ascii="Times New Roman" w:eastAsia="宋体" w:hAnsi="Times New Roman"/>
      <w:szCs w:val="20"/>
    </w:rPr>
  </w:style>
  <w:style w:type="paragraph" w:customStyle="1" w:styleId="af4">
    <w:name w:val="表内"/>
    <w:link w:val="Char"/>
    <w:uiPriority w:val="99"/>
    <w:qFormat/>
    <w:pPr>
      <w:snapToGrid w:val="0"/>
      <w:jc w:val="center"/>
    </w:pPr>
    <w:rPr>
      <w:rFonts w:eastAsia="仿宋_GB2312"/>
      <w:szCs w:val="24"/>
    </w:rPr>
  </w:style>
  <w:style w:type="character" w:customStyle="1" w:styleId="Char">
    <w:name w:val="表内 Char"/>
    <w:link w:val="af4"/>
    <w:uiPriority w:val="99"/>
    <w:qFormat/>
    <w:locked/>
    <w:rPr>
      <w:rFonts w:ascii="Times New Roman" w:eastAsia="仿宋_GB2312" w:hAnsi="Times New Roman"/>
      <w:sz w:val="24"/>
    </w:rPr>
  </w:style>
  <w:style w:type="paragraph" w:customStyle="1" w:styleId="04">
    <w:name w:val="04正文"/>
    <w:basedOn w:val="a"/>
    <w:qFormat/>
    <w:pPr>
      <w:spacing w:line="500" w:lineRule="exact"/>
      <w:ind w:firstLineChars="200" w:firstLine="200"/>
    </w:pPr>
    <w:rPr>
      <w:rFonts w:ascii="Times New Roman" w:eastAsia="仿宋_GB2312" w:hAnsi="Times New Roman"/>
      <w:kern w:val="0"/>
      <w:sz w:val="28"/>
      <w:szCs w:val="20"/>
    </w:rPr>
  </w:style>
  <w:style w:type="paragraph" w:customStyle="1" w:styleId="CharCharCharCharCharChar">
    <w:name w:val="Char Char Char Char Char Char"/>
    <w:basedOn w:val="a"/>
    <w:qFormat/>
    <w:rPr>
      <w:sz w:val="24"/>
    </w:rPr>
  </w:style>
  <w:style w:type="paragraph" w:customStyle="1" w:styleId="Bodytext221">
    <w:name w:val="Body text|221"/>
    <w:basedOn w:val="a"/>
    <w:qFormat/>
    <w:pPr>
      <w:shd w:val="clear" w:color="auto" w:fill="FFFFFF"/>
      <w:spacing w:after="380" w:line="220" w:lineRule="exact"/>
      <w:ind w:hanging="660"/>
      <w:jc w:val="distribute"/>
    </w:pPr>
    <w:rPr>
      <w:rFonts w:ascii="PMingLiU" w:eastAsia="PMingLiU" w:hAnsi="PMingLiU" w:cs="PMingLiU"/>
      <w:sz w:val="22"/>
    </w:rPr>
  </w:style>
  <w:style w:type="paragraph" w:customStyle="1" w:styleId="ParaChar">
    <w:name w:val="默认段落字体 Para Char"/>
    <w:basedOn w:val="a"/>
    <w:rsid w:val="000A7B2F"/>
    <w:rPr>
      <w:rFonts w:ascii="Times New Roman" w:eastAsia="宋体" w:hAnsi="Times New Roman"/>
      <w:szCs w:val="24"/>
    </w:rPr>
  </w:style>
  <w:style w:type="character" w:customStyle="1" w:styleId="111Char">
    <w:name w:val="正文111 Char"/>
    <w:link w:val="111"/>
    <w:rsid w:val="00126D33"/>
    <w:rPr>
      <w:sz w:val="24"/>
      <w:szCs w:val="24"/>
    </w:rPr>
  </w:style>
  <w:style w:type="paragraph" w:customStyle="1" w:styleId="111">
    <w:name w:val="正文111"/>
    <w:basedOn w:val="af5"/>
    <w:link w:val="111Char"/>
    <w:qFormat/>
    <w:rsid w:val="00126D33"/>
    <w:pPr>
      <w:widowControl/>
      <w:adjustRightInd w:val="0"/>
      <w:snapToGrid w:val="0"/>
      <w:spacing w:line="360" w:lineRule="exact"/>
      <w:ind w:firstLineChars="200" w:firstLine="200"/>
    </w:pPr>
    <w:rPr>
      <w:rFonts w:eastAsia="宋体"/>
      <w:kern w:val="0"/>
    </w:rPr>
  </w:style>
  <w:style w:type="paragraph" w:styleId="af5">
    <w:name w:val="Normal (Web)"/>
    <w:basedOn w:val="a"/>
    <w:uiPriority w:val="99"/>
    <w:semiHidden/>
    <w:unhideWhenUsed/>
    <w:rsid w:val="00126D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331</Words>
  <Characters>1893</Characters>
  <Application>Microsoft Office Word</Application>
  <DocSecurity>0</DocSecurity>
  <Lines>15</Lines>
  <Paragraphs>4</Paragraphs>
  <ScaleCrop>false</ScaleCrop>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雷国伟</dc:creator>
  <cp:lastModifiedBy>guojian zhang</cp:lastModifiedBy>
  <cp:revision>13</cp:revision>
  <cp:lastPrinted>2019-06-27T06:52:00Z</cp:lastPrinted>
  <dcterms:created xsi:type="dcterms:W3CDTF">2018-06-23T04:13:00Z</dcterms:created>
  <dcterms:modified xsi:type="dcterms:W3CDTF">2020-01-15T06:51:00Z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