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Times New Roman" w:hAnsi="Times New Roman" w:eastAsia="宋体" w:cs="Times New Roman"/>
          <w:color w:val="auto"/>
          <w:szCs w:val="21"/>
        </w:rPr>
      </w:pPr>
      <w:r>
        <w:rPr>
          <w:rFonts w:hint="eastAsia" w:ascii="宋体" w:hAnsi="宋体" w:eastAsia="宋体" w:cs="宋体"/>
          <w:b/>
          <w:color w:val="auto"/>
          <w:sz w:val="48"/>
          <w:szCs w:val="48"/>
          <w:lang w:bidi="ar"/>
        </w:rPr>
        <w:t>建设项目环境影响报告表</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pStyle w:val="17"/>
        <w:widowControl/>
        <w:snapToGrid w:val="0"/>
        <w:jc w:val="center"/>
        <w:rPr>
          <w:rFonts w:hint="default" w:ascii="Times New Roman" w:hAnsi="Times New Roman"/>
          <w:color w:val="auto"/>
          <w:sz w:val="32"/>
          <w:szCs w:val="32"/>
        </w:rPr>
      </w:pPr>
      <w:r>
        <w:rPr>
          <w:rStyle w:val="22"/>
          <w:rFonts w:hint="eastAsia"/>
          <w:color w:val="auto"/>
          <w:sz w:val="32"/>
          <w:szCs w:val="32"/>
        </w:rPr>
        <w:t xml:space="preserve"> </w:t>
      </w:r>
    </w:p>
    <w:p>
      <w:pPr>
        <w:spacing w:before="468" w:beforeLines="150" w:after="468" w:afterLines="150" w:line="360" w:lineRule="auto"/>
        <w:jc w:val="both"/>
        <w:rPr>
          <w:rFonts w:hint="eastAsia" w:ascii="Times New Roman" w:hAnsi="Times New Roman" w:eastAsia="宋体" w:cs="Times New Roman"/>
          <w:color w:val="auto"/>
          <w:sz w:val="32"/>
          <w:szCs w:val="32"/>
          <w:lang w:val="en-US" w:eastAsia="zh-CN"/>
        </w:rPr>
      </w:pPr>
      <w:r>
        <w:rPr>
          <w:rFonts w:hint="eastAsia" w:ascii="宋体" w:hAnsi="宋体" w:eastAsia="宋体" w:cs="宋体"/>
          <w:color w:val="auto"/>
          <w:sz w:val="32"/>
          <w:szCs w:val="32"/>
          <w:lang w:bidi="ar"/>
        </w:rPr>
        <w:t>项目名称：</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hint="eastAsia" w:ascii="Times New Roman" w:hAnsi="Times New Roman" w:eastAsia="宋体" w:cs="Times New Roman"/>
          <w:color w:val="auto"/>
          <w:sz w:val="32"/>
          <w:szCs w:val="32"/>
          <w:u w:val="single"/>
          <w:lang w:eastAsia="zh-CN" w:bidi="ar"/>
        </w:rPr>
        <w:t>生物质压力块项目（年产3万吨生物质压力块）</w:t>
      </w:r>
    </w:p>
    <w:p>
      <w:pPr>
        <w:spacing w:before="468" w:beforeLines="150" w:after="468" w:afterLines="150" w:line="360" w:lineRule="auto"/>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建设单位（盖章）：</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hint="eastAsia" w:ascii="Times New Roman" w:hAnsi="Times New Roman" w:eastAsia="宋体" w:cs="Times New Roman"/>
          <w:color w:val="auto"/>
          <w:sz w:val="32"/>
          <w:szCs w:val="32"/>
          <w:u w:val="single"/>
          <w:lang w:bidi="ar"/>
        </w:rPr>
        <w:t>常州市燕青生物质能源有限公司</w:t>
      </w:r>
      <w:r>
        <w:rPr>
          <w:rFonts w:ascii="Times New Roman" w:hAnsi="Times New Roman" w:eastAsia="宋体" w:cs="Times New Roman"/>
          <w:color w:val="auto"/>
          <w:sz w:val="32"/>
          <w:szCs w:val="32"/>
          <w:u w:val="single"/>
          <w:lang w:bidi="ar"/>
        </w:rPr>
        <w:t xml:space="preserve"> </w:t>
      </w:r>
      <w:r>
        <w:rPr>
          <w:rFonts w:hint="eastAsia" w:ascii="Times New Roman" w:hAnsi="Times New Roman" w:eastAsia="宋体" w:cs="Times New Roman"/>
          <w:color w:val="auto"/>
          <w:sz w:val="32"/>
          <w:szCs w:val="32"/>
          <w:u w:val="single"/>
          <w:lang w:val="en-US" w:eastAsia="zh-CN" w:bidi="ar"/>
        </w:rPr>
        <w:t xml:space="preserve"> </w:t>
      </w:r>
      <w:r>
        <w:rPr>
          <w:rFonts w:ascii="Times New Roman" w:hAnsi="Times New Roman" w:eastAsia="宋体" w:cs="Times New Roman"/>
          <w:color w:val="auto"/>
          <w:sz w:val="32"/>
          <w:szCs w:val="32"/>
          <w:u w:val="single"/>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t xml:space="preserve"> </w:t>
      </w:r>
    </w:p>
    <w:p>
      <w:pPr>
        <w:spacing w:line="360" w:lineRule="auto"/>
        <w:jc w:val="center"/>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编制日期：</w:t>
      </w:r>
      <w:r>
        <w:rPr>
          <w:rFonts w:ascii="Times New Roman" w:hAnsi="Times New Roman" w:eastAsia="宋体" w:cs="Times New Roman"/>
          <w:color w:val="auto"/>
          <w:sz w:val="32"/>
          <w:szCs w:val="32"/>
          <w:lang w:bidi="ar"/>
        </w:rPr>
        <w:t>201</w:t>
      </w:r>
      <w:r>
        <w:rPr>
          <w:rFonts w:hint="eastAsia" w:ascii="Times New Roman" w:hAnsi="Times New Roman" w:eastAsia="宋体" w:cs="Times New Roman"/>
          <w:color w:val="auto"/>
          <w:sz w:val="32"/>
          <w:szCs w:val="32"/>
          <w:lang w:val="en-US" w:eastAsia="zh-CN" w:bidi="ar"/>
        </w:rPr>
        <w:t>9</w:t>
      </w:r>
      <w:r>
        <w:rPr>
          <w:rFonts w:hint="eastAsia" w:ascii="宋体" w:hAnsi="宋体" w:eastAsia="宋体" w:cs="宋体"/>
          <w:color w:val="auto"/>
          <w:sz w:val="32"/>
          <w:szCs w:val="32"/>
          <w:lang w:bidi="ar"/>
        </w:rPr>
        <w:t>年</w:t>
      </w:r>
      <w:r>
        <w:rPr>
          <w:rFonts w:hint="eastAsia" w:ascii="宋体" w:hAnsi="宋体" w:eastAsia="宋体" w:cs="宋体"/>
          <w:color w:val="auto"/>
          <w:sz w:val="32"/>
          <w:szCs w:val="32"/>
          <w:lang w:val="en-US" w:eastAsia="zh-CN" w:bidi="ar"/>
        </w:rPr>
        <w:t>6</w:t>
      </w:r>
      <w:r>
        <w:rPr>
          <w:rFonts w:hint="eastAsia" w:ascii="宋体" w:hAnsi="宋体" w:eastAsia="宋体" w:cs="宋体"/>
          <w:color w:val="auto"/>
          <w:sz w:val="32"/>
          <w:szCs w:val="32"/>
          <w:lang w:bidi="ar"/>
        </w:rPr>
        <w:t>月</w:t>
      </w:r>
    </w:p>
    <w:p>
      <w:pPr>
        <w:spacing w:line="360" w:lineRule="auto"/>
        <w:jc w:val="center"/>
        <w:rPr>
          <w:rFonts w:ascii="Times New Roman" w:hAnsi="Times New Roman" w:eastAsia="宋体" w:cs="Times New Roman"/>
          <w:color w:val="auto"/>
          <w:sz w:val="32"/>
          <w:szCs w:val="32"/>
        </w:rPr>
      </w:pPr>
      <w:r>
        <w:rPr>
          <w:rFonts w:hint="eastAsia" w:ascii="宋体" w:hAnsi="宋体" w:eastAsia="宋体" w:cs="宋体"/>
          <w:color w:val="auto"/>
          <w:sz w:val="32"/>
          <w:szCs w:val="32"/>
          <w:lang w:bidi="ar"/>
        </w:rPr>
        <w:t>江苏省环境保护厅制</w:t>
      </w:r>
    </w:p>
    <w:p>
      <w:pPr>
        <w:spacing w:line="360" w:lineRule="auto"/>
        <w:jc w:val="center"/>
        <w:rPr>
          <w:rFonts w:ascii="Times New Roman" w:hAnsi="Times New Roman" w:eastAsia="宋体" w:cs="Times New Roman"/>
          <w:color w:val="auto"/>
          <w:sz w:val="32"/>
          <w:szCs w:val="32"/>
        </w:rPr>
      </w:pPr>
      <w:r>
        <w:rPr>
          <w:rFonts w:ascii="Times New Roman" w:hAnsi="Times New Roman" w:eastAsia="宋体" w:cs="Times New Roman"/>
          <w:color w:val="auto"/>
          <w:sz w:val="32"/>
          <w:szCs w:val="32"/>
          <w:lang w:bidi="ar"/>
        </w:rPr>
        <w:br w:type="page"/>
      </w:r>
    </w:p>
    <w:p>
      <w:pPr>
        <w:rPr>
          <w:rFonts w:ascii="Times New Roman" w:hAnsi="Times New Roman" w:eastAsia="宋体" w:cs="Times New Roman"/>
          <w:color w:val="auto"/>
          <w:kern w:val="0"/>
          <w:sz w:val="24"/>
        </w:rPr>
        <w:sectPr>
          <w:pgSz w:w="11906" w:h="16838"/>
          <w:pgMar w:top="1440" w:right="1800" w:bottom="1440" w:left="1800" w:header="851" w:footer="992" w:gutter="0"/>
          <w:cols w:space="425" w:num="1"/>
          <w:docGrid w:type="lines" w:linePitch="312" w:charSpace="0"/>
        </w:sectPr>
      </w:pPr>
    </w:p>
    <w:p>
      <w:pPr>
        <w:autoSpaceDE w:val="0"/>
        <w:autoSpaceDN w:val="0"/>
        <w:adjustRightInd w:val="0"/>
        <w:spacing w:before="312" w:beforeLines="100" w:after="936" w:afterLines="300" w:line="360" w:lineRule="auto"/>
        <w:ind w:firstLine="480" w:firstLineChars="200"/>
        <w:jc w:val="center"/>
        <w:rPr>
          <w:rFonts w:ascii="Times New Roman" w:hAnsi="Times New Roman" w:eastAsia="宋体" w:cs="Times New Roman"/>
          <w:color w:val="auto"/>
          <w:kern w:val="0"/>
          <w:sz w:val="24"/>
        </w:rPr>
      </w:pPr>
      <w:r>
        <w:rPr>
          <w:rFonts w:hint="eastAsia" w:ascii="宋体" w:hAnsi="宋体" w:eastAsia="宋体" w:cs="宋体"/>
          <w:color w:val="auto"/>
          <w:kern w:val="0"/>
          <w:sz w:val="24"/>
          <w:lang w:bidi="ar"/>
        </w:rPr>
        <w:t>《建设项目环境影响报告表》编制说明</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hint="eastAsia" w:ascii="宋体" w:hAnsi="宋体" w:eastAsia="宋体" w:cs="宋体"/>
          <w:color w:val="auto"/>
          <w:kern w:val="0"/>
          <w:sz w:val="24"/>
          <w:lang w:bidi="ar"/>
        </w:rPr>
        <w:t>《建设项目环境影响报告表》由具有从事环境影响评价工作资质的单位编制。</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1.</w:t>
      </w:r>
      <w:r>
        <w:rPr>
          <w:rFonts w:hint="eastAsia" w:ascii="宋体" w:hAnsi="宋体" w:eastAsia="宋体" w:cs="宋体"/>
          <w:color w:val="auto"/>
          <w:kern w:val="0"/>
          <w:sz w:val="24"/>
          <w:lang w:bidi="ar"/>
        </w:rPr>
        <w:t>项目名称</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指项目立项批复时的名称，应不超过</w:t>
      </w:r>
      <w:r>
        <w:rPr>
          <w:rFonts w:ascii="Times New Roman" w:hAnsi="Times New Roman" w:eastAsia="宋体" w:cs="Times New Roman"/>
          <w:color w:val="auto"/>
          <w:kern w:val="0"/>
          <w:sz w:val="24"/>
          <w:lang w:bidi="ar"/>
        </w:rPr>
        <w:t>30</w:t>
      </w:r>
      <w:r>
        <w:rPr>
          <w:rFonts w:hint="eastAsia" w:ascii="宋体" w:hAnsi="宋体" w:eastAsia="宋体" w:cs="宋体"/>
          <w:color w:val="auto"/>
          <w:kern w:val="0"/>
          <w:sz w:val="24"/>
          <w:lang w:bidi="ar"/>
        </w:rPr>
        <w:t>个字（两个英文字段作一个汉字）。</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2.</w:t>
      </w:r>
      <w:r>
        <w:rPr>
          <w:rFonts w:hint="eastAsia" w:ascii="宋体" w:hAnsi="宋体" w:eastAsia="宋体" w:cs="宋体"/>
          <w:color w:val="auto"/>
          <w:kern w:val="0"/>
          <w:sz w:val="24"/>
          <w:lang w:bidi="ar"/>
        </w:rPr>
        <w:t>建设地点</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指项目所在地详细地址，公路、铁路应填写起止地点。</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3.</w:t>
      </w:r>
      <w:r>
        <w:rPr>
          <w:rFonts w:hint="eastAsia" w:ascii="宋体" w:hAnsi="宋体" w:eastAsia="宋体" w:cs="宋体"/>
          <w:color w:val="auto"/>
          <w:kern w:val="0"/>
          <w:sz w:val="24"/>
          <w:lang w:bidi="ar"/>
        </w:rPr>
        <w:t>行业类别</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按国标填写。</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4.</w:t>
      </w:r>
      <w:r>
        <w:rPr>
          <w:rFonts w:hint="eastAsia" w:ascii="宋体" w:hAnsi="宋体" w:eastAsia="宋体" w:cs="宋体"/>
          <w:color w:val="auto"/>
          <w:kern w:val="0"/>
          <w:sz w:val="24"/>
          <w:lang w:bidi="ar"/>
        </w:rPr>
        <w:t>总投资</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指项目投资总额。</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5.</w:t>
      </w:r>
      <w:r>
        <w:rPr>
          <w:rFonts w:hint="eastAsia" w:ascii="宋体" w:hAnsi="宋体" w:eastAsia="宋体" w:cs="宋体"/>
          <w:color w:val="auto"/>
          <w:kern w:val="0"/>
          <w:sz w:val="24"/>
          <w:lang w:bidi="ar"/>
        </w:rPr>
        <w:t>主要环境保护目标</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指项目区周围一定范围内集中居民住宅区、学校、医院、保护文物、风景名胜区、水源地和生态敏感点等，应尽可能给出保护目标、性质、规模和距厂界距离等。</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6.</w:t>
      </w:r>
      <w:r>
        <w:rPr>
          <w:rFonts w:hint="eastAsia" w:ascii="宋体" w:hAnsi="宋体" w:eastAsia="宋体" w:cs="宋体"/>
          <w:color w:val="auto"/>
          <w:kern w:val="0"/>
          <w:sz w:val="24"/>
          <w:lang w:bidi="ar"/>
        </w:rPr>
        <w:t>结论与建议</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给出本项目清洁生产、达标排放和总量控制的分析结论，确定污染防治措施的有效性，说明本项目对环境造成的影响，给出建设项目环境可行性的明确结论。同时提出减少环境影响的其他建议。</w:t>
      </w:r>
    </w:p>
    <w:p>
      <w:pPr>
        <w:autoSpaceDE w:val="0"/>
        <w:autoSpaceDN w:val="0"/>
        <w:adjustRightInd w:val="0"/>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7.</w:t>
      </w:r>
      <w:r>
        <w:rPr>
          <w:rFonts w:hint="eastAsia" w:ascii="宋体" w:hAnsi="宋体" w:eastAsia="宋体" w:cs="宋体"/>
          <w:color w:val="auto"/>
          <w:kern w:val="0"/>
          <w:sz w:val="24"/>
          <w:lang w:bidi="ar"/>
        </w:rPr>
        <w:t>预审意见</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由行业主管部门填写答复意见，无主管部门项目，可不填。</w:t>
      </w:r>
    </w:p>
    <w:p>
      <w:pPr>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t>8.</w:t>
      </w:r>
      <w:r>
        <w:rPr>
          <w:rFonts w:hint="eastAsia" w:ascii="宋体" w:hAnsi="宋体" w:eastAsia="宋体" w:cs="宋体"/>
          <w:color w:val="auto"/>
          <w:kern w:val="0"/>
          <w:sz w:val="24"/>
          <w:lang w:bidi="ar"/>
        </w:rPr>
        <w:t>审批意见</w:t>
      </w:r>
      <w:r>
        <w:rPr>
          <w:rFonts w:ascii="Times New Roman" w:hAnsi="Times New Roman" w:eastAsia="宋体" w:cs="Times New Roman"/>
          <w:color w:val="auto"/>
          <w:kern w:val="0"/>
          <w:sz w:val="24"/>
          <w:lang w:bidi="ar"/>
        </w:rPr>
        <w:t>——</w:t>
      </w:r>
      <w:r>
        <w:rPr>
          <w:rFonts w:hint="eastAsia" w:ascii="宋体" w:hAnsi="宋体" w:eastAsia="宋体" w:cs="宋体"/>
          <w:color w:val="auto"/>
          <w:kern w:val="0"/>
          <w:sz w:val="24"/>
          <w:lang w:bidi="ar"/>
        </w:rPr>
        <w:t>有负责审批该项目的环境保护行政主管部门批复。</w:t>
      </w:r>
    </w:p>
    <w:p>
      <w:pPr>
        <w:spacing w:line="48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lang w:bidi="ar"/>
        </w:rPr>
        <w:br w:type="page"/>
      </w:r>
    </w:p>
    <w:p>
      <w:pPr>
        <w:spacing w:line="480" w:lineRule="auto"/>
        <w:rPr>
          <w:rFonts w:ascii="Times New Roman" w:hAnsi="Times New Roman" w:eastAsia="宋体" w:cs="Times New Roman"/>
          <w:b/>
          <w:color w:val="auto"/>
          <w:sz w:val="30"/>
          <w:szCs w:val="30"/>
        </w:rPr>
        <w:sectPr>
          <w:pgSz w:w="11906" w:h="16838"/>
          <w:pgMar w:top="1440" w:right="1800" w:bottom="1440" w:left="1800" w:header="851" w:footer="992" w:gutter="0"/>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建设项目基本情况</w:t>
      </w:r>
    </w:p>
    <w:tbl>
      <w:tblPr>
        <w:tblStyle w:val="16"/>
        <w:tblW w:w="87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0"/>
        <w:gridCol w:w="1024"/>
        <w:gridCol w:w="1171"/>
        <w:gridCol w:w="834"/>
        <w:gridCol w:w="1263"/>
        <w:gridCol w:w="1250"/>
        <w:gridCol w:w="145"/>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jc w:val="center"/>
        </w:trPr>
        <w:tc>
          <w:tcPr>
            <w:tcW w:w="1740"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项目名称</w:t>
            </w:r>
          </w:p>
        </w:tc>
        <w:tc>
          <w:tcPr>
            <w:tcW w:w="7003" w:type="dxa"/>
            <w:gridSpan w:val="7"/>
            <w:tcBorders>
              <w:top w:val="single" w:color="auto" w:sz="12"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生物质压力块项目（年产3万吨生物质压力块）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建设单位</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常州市燕青生物质能源有限公司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法人代表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蒋燕青</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联系人</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蒋燕青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通讯地址</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cs="Times New Roman"/>
                <w:sz w:val="24"/>
                <w:szCs w:val="24"/>
                <w:lang w:val="en-US" w:eastAsia="zh-CN"/>
              </w:rPr>
              <w:t>常州市武进区嘉泽镇满墩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联系电话</w:t>
            </w:r>
          </w:p>
        </w:tc>
        <w:tc>
          <w:tcPr>
            <w:tcW w:w="21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15161106987</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传真</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邮政编码</w:t>
            </w:r>
          </w:p>
        </w:tc>
        <w:tc>
          <w:tcPr>
            <w:tcW w:w="1316"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213000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建设地点</w:t>
            </w:r>
          </w:p>
        </w:tc>
        <w:tc>
          <w:tcPr>
            <w:tcW w:w="7003"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cs="Times New Roman"/>
                <w:sz w:val="24"/>
                <w:szCs w:val="24"/>
                <w:lang w:val="en-US" w:eastAsia="zh-CN"/>
              </w:rPr>
              <w:t>常州市武进区嘉泽镇满墩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立项审批部门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常州市武进区行政审批局</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批准文号</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武行审技备[2019]40号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建设性质</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技改扩建</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行业类别及代码</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宋体" w:eastAsia="宋体" w:cs="Times New Roman"/>
                <w:color w:val="auto"/>
                <w:sz w:val="24"/>
                <w:lang w:val="en-US" w:eastAsia="zh-CN" w:bidi="ar"/>
              </w:rPr>
              <w:t>C2542 生物质致密成型燃料加工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用地面积</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（平方米）</w:t>
            </w:r>
          </w:p>
        </w:tc>
        <w:tc>
          <w:tcPr>
            <w:tcW w:w="302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1500</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绿化面积</w:t>
            </w:r>
          </w:p>
          <w:p>
            <w:pPr>
              <w:pStyle w:val="27"/>
              <w:widowControl/>
              <w:spacing w:line="360" w:lineRule="auto"/>
              <w:rPr>
                <w:rFonts w:ascii="Times New Roman" w:hAnsi="Times New Roman"/>
                <w:color w:val="auto"/>
              </w:rPr>
            </w:pPr>
            <w:r>
              <w:rPr>
                <w:rFonts w:ascii="Times New Roman" w:hAnsi="Times New Roman"/>
                <w:color w:val="auto"/>
                <w:sz w:val="24"/>
                <w:szCs w:val="24"/>
              </w:rPr>
              <w:t>(</w:t>
            </w:r>
            <w:r>
              <w:rPr>
                <w:rFonts w:hint="eastAsia" w:ascii="宋体" w:hAnsi="宋体" w:cs="宋体"/>
                <w:color w:val="auto"/>
                <w:sz w:val="24"/>
                <w:szCs w:val="24"/>
              </w:rPr>
              <w:t>平方米</w:t>
            </w:r>
            <w:r>
              <w:rPr>
                <w:rFonts w:ascii="Times New Roman" w:hAnsi="Times New Roman"/>
                <w:color w:val="auto"/>
                <w:sz w:val="24"/>
                <w:szCs w:val="24"/>
              </w:rPr>
              <w:t>)</w:t>
            </w:r>
          </w:p>
        </w:tc>
        <w:tc>
          <w:tcPr>
            <w:tcW w:w="2711"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总投资</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bidi="ar"/>
              </w:rPr>
              <w:t>800</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其中环保</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投资(</w:t>
            </w:r>
            <w:r>
              <w:rPr>
                <w:rFonts w:hint="eastAsia" w:ascii="宋体" w:hAnsi="宋体" w:eastAsia="宋体" w:cs="宋体"/>
                <w:color w:val="auto"/>
                <w:sz w:val="24"/>
                <w:lang w:bidi="ar"/>
              </w:rPr>
              <w:t>万元</w:t>
            </w:r>
            <w:r>
              <w:rPr>
                <w:rFonts w:ascii="Times New Roman" w:hAnsi="Times New Roman" w:eastAsia="宋体" w:cs="Times New Roman"/>
                <w:color w:val="auto"/>
                <w:sz w:val="24"/>
                <w:lang w:bidi="ar"/>
              </w:rPr>
              <w:t>)</w:t>
            </w:r>
          </w:p>
        </w:tc>
        <w:tc>
          <w:tcPr>
            <w:tcW w:w="1263"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10</w:t>
            </w:r>
          </w:p>
        </w:tc>
        <w:tc>
          <w:tcPr>
            <w:tcW w:w="125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环保投资占总投资比例</w:t>
            </w:r>
          </w:p>
        </w:tc>
        <w:tc>
          <w:tcPr>
            <w:tcW w:w="1461"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1.25</w:t>
            </w:r>
            <w:r>
              <w:rPr>
                <w:rFonts w:hint="eastAsia" w:ascii="Times New Roman" w:hAnsi="Times New Roman" w:eastAsia="宋体" w:cs="Times New Roman"/>
                <w:color w:val="auto"/>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评价经费</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（万元）</w:t>
            </w:r>
          </w:p>
        </w:tc>
        <w:tc>
          <w:tcPr>
            <w:tcW w:w="102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p>
        </w:tc>
        <w:tc>
          <w:tcPr>
            <w:tcW w:w="200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预期投产日期</w:t>
            </w:r>
          </w:p>
        </w:tc>
        <w:tc>
          <w:tcPr>
            <w:tcW w:w="3974" w:type="dxa"/>
            <w:gridSpan w:val="4"/>
            <w:tcBorders>
              <w:top w:val="single" w:color="auto" w:sz="6" w:space="0"/>
              <w:left w:val="single" w:color="auto" w:sz="6" w:space="0"/>
              <w:bottom w:val="single" w:color="auto" w:sz="6" w:space="0"/>
              <w:right w:val="single" w:color="auto" w:sz="12" w:space="0"/>
            </w:tcBorders>
            <w:shd w:val="clear" w:color="auto" w:fill="auto"/>
            <w:vAlign w:val="center"/>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lang w:bidi="ar"/>
              </w:rPr>
              <w:t>201</w:t>
            </w:r>
            <w:r>
              <w:rPr>
                <w:rFonts w:hint="eastAsia" w:ascii="Times New Roman" w:hAnsi="Times New Roman" w:eastAsia="宋体" w:cs="Times New Roman"/>
                <w:color w:val="auto"/>
                <w:sz w:val="24"/>
                <w:lang w:bidi="ar"/>
              </w:rPr>
              <w:t>9</w:t>
            </w:r>
            <w:r>
              <w:rPr>
                <w:rFonts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9</w:t>
            </w:r>
            <w:r>
              <w:rPr>
                <w:rFonts w:ascii="Times New Roman" w:hAnsi="Times New Roman" w:eastAsia="宋体" w:cs="Times New Roman"/>
                <w:color w:val="auto"/>
                <w:sz w:val="24"/>
                <w:lang w:bidi="ar"/>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kern w:val="0"/>
                <w:sz w:val="24"/>
              </w:rPr>
            </w:pPr>
            <w:r>
              <w:rPr>
                <w:rFonts w:ascii="Times New Roman" w:hAnsi="Times New Roman" w:eastAsia="宋体" w:cs="Times New Roman"/>
                <w:b/>
                <w:color w:val="auto"/>
                <w:kern w:val="0"/>
                <w:sz w:val="24"/>
                <w:lang w:bidi="ar"/>
              </w:rPr>
              <w:t>原辅材料（包括名称、用量）及主要设施规格、数量（包括锅炉、发电机等）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kern w:val="0"/>
                <w:sz w:val="24"/>
                <w:lang w:bidi="ar"/>
              </w:rPr>
              <w:t>本项目主要原辅材料及生产设备详见</w:t>
            </w:r>
            <w:r>
              <w:rPr>
                <w:rFonts w:ascii="Times New Roman" w:hAnsi="Times New Roman" w:eastAsia="宋体" w:cs="Times New Roman"/>
                <w:b/>
                <w:color w:val="auto"/>
                <w:kern w:val="0"/>
                <w:sz w:val="24"/>
                <w:lang w:bidi="ar"/>
              </w:rPr>
              <w:t>表1-2</w:t>
            </w:r>
            <w:r>
              <w:rPr>
                <w:rFonts w:ascii="Times New Roman" w:hAnsi="Times New Roman" w:eastAsia="宋体" w:cs="Times New Roman"/>
                <w:color w:val="auto"/>
                <w:kern w:val="0"/>
                <w:sz w:val="24"/>
                <w:lang w:bidi="ar"/>
              </w:rPr>
              <w:t>、</w:t>
            </w:r>
            <w:r>
              <w:rPr>
                <w:rFonts w:ascii="Times New Roman" w:hAnsi="Times New Roman" w:eastAsia="宋体" w:cs="Times New Roman"/>
                <w:b/>
                <w:color w:val="auto"/>
                <w:kern w:val="0"/>
                <w:sz w:val="24"/>
                <w:lang w:bidi="ar"/>
              </w:rPr>
              <w:t>表1-</w:t>
            </w:r>
            <w:r>
              <w:rPr>
                <w:rFonts w:hint="eastAsia" w:ascii="Times New Roman" w:hAnsi="Times New Roman" w:eastAsia="宋体" w:cs="Times New Roman"/>
                <w:b/>
                <w:color w:val="auto"/>
                <w:kern w:val="0"/>
                <w:sz w:val="24"/>
                <w:lang w:val="en-US" w:eastAsia="zh-CN" w:bidi="ar"/>
              </w:rPr>
              <w:t>4</w:t>
            </w:r>
            <w:r>
              <w:rPr>
                <w:rFonts w:ascii="Times New Roman" w:hAnsi="Times New Roman" w:eastAsia="宋体" w:cs="Times New Roman"/>
                <w:b/>
                <w:color w:val="auto"/>
                <w:kern w:val="0"/>
                <w:sz w:val="24"/>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水及能源消耗量</w:t>
            </w:r>
          </w:p>
          <w:tbl>
            <w:tblPr>
              <w:tblStyle w:val="16"/>
              <w:tblW w:w="8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276"/>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消耗量</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水（吨/</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0</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燃油（吨/</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电（万千瓦·</w:t>
                  </w:r>
                  <w:r>
                    <w:rPr>
                      <w:rFonts w:hint="eastAsia" w:ascii="宋体" w:hAnsi="宋体" w:cs="宋体"/>
                      <w:color w:val="auto"/>
                    </w:rPr>
                    <w:t>时</w:t>
                  </w:r>
                  <w:r>
                    <w:rPr>
                      <w:color w:val="auto"/>
                    </w:rPr>
                    <w:t>/</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2</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天然气（万m</w:t>
                  </w:r>
                  <w:r>
                    <w:rPr>
                      <w:color w:val="auto"/>
                      <w:vertAlign w:val="superscript"/>
                    </w:rPr>
                    <w:t>3</w:t>
                  </w:r>
                  <w:r>
                    <w:rPr>
                      <w:color w:val="auto"/>
                    </w:rPr>
                    <w:t>/</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燃煤（吨/</w:t>
                  </w:r>
                  <w:r>
                    <w:rPr>
                      <w:rFonts w:hint="eastAsia" w:ascii="宋体" w:hAnsi="宋体" w:cs="宋体"/>
                      <w:color w:val="auto"/>
                    </w:rPr>
                    <w:t>年）</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c>
                <w:tcPr>
                  <w:tcW w:w="269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蒸汽（吨/</w:t>
                  </w:r>
                  <w:r>
                    <w:rPr>
                      <w:rFonts w:hint="eastAsia" w:ascii="宋体" w:hAnsi="宋体" w:cs="宋体"/>
                      <w:color w:val="auto"/>
                    </w:rPr>
                    <w:t>年）</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w:t>
                  </w:r>
                </w:p>
              </w:tc>
            </w:tr>
          </w:tbl>
          <w:p>
            <w:pPr>
              <w:spacing w:line="360" w:lineRule="auto"/>
              <w:ind w:firstLine="482" w:firstLineChars="200"/>
              <w:rPr>
                <w:rFonts w:ascii="Times New Roman" w:hAnsi="Times New Roman" w:eastAsia="宋体" w:cs="Times New Roman"/>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jc w:val="left"/>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污水（工业污水</w:t>
            </w:r>
            <w:r>
              <w:rPr>
                <w:rFonts w:ascii="Times New Roman" w:hAnsi="Times New Roman" w:eastAsia="宋体" w:cs="Times New Roman"/>
                <w:b/>
                <w:color w:val="auto"/>
                <w:sz w:val="24"/>
                <w:lang w:bidi="ar"/>
              </w:rPr>
              <w:sym w:font="Wingdings" w:char="00A8"/>
            </w:r>
            <w:r>
              <w:rPr>
                <w:rFonts w:ascii="Times New Roman" w:hAnsi="Times New Roman" w:eastAsia="宋体" w:cs="Times New Roman"/>
                <w:b/>
                <w:color w:val="auto"/>
                <w:sz w:val="24"/>
                <w:lang w:bidi="ar"/>
              </w:rPr>
              <w:t>、生活污水</w:t>
            </w:r>
            <w:r>
              <w:rPr>
                <w:rFonts w:ascii="Times New Roman" w:hAnsi="Times New Roman" w:eastAsia="宋体" w:cs="Times New Roman"/>
                <w:b/>
                <w:color w:val="auto"/>
                <w:sz w:val="24"/>
                <w:lang w:bidi="ar"/>
              </w:rPr>
              <w:sym w:font="Wingdings" w:char="00A8"/>
            </w:r>
            <w:r>
              <w:rPr>
                <w:rFonts w:hint="eastAsia" w:ascii="宋体" w:hAnsi="宋体" w:eastAsia="宋体" w:cs="宋体"/>
                <w:b/>
                <w:color w:val="auto"/>
                <w:sz w:val="24"/>
                <w:lang w:bidi="ar"/>
              </w:rPr>
              <w:t>）排水量及排放去向</w:t>
            </w:r>
          </w:p>
          <w:p>
            <w:pPr>
              <w:spacing w:line="360" w:lineRule="auto"/>
              <w:ind w:firstLine="480" w:firstLineChars="200"/>
              <w:jc w:val="left"/>
              <w:rPr>
                <w:rFonts w:ascii="Times New Roman" w:hAnsi="Times New Roman" w:eastAsia="宋体" w:cs="Times New Roman"/>
                <w:color w:val="auto"/>
                <w:sz w:val="24"/>
                <w:lang w:bidi="ar"/>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无生产废水产生及排放</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本项目不新增</w:t>
            </w:r>
            <w:r>
              <w:rPr>
                <w:rFonts w:hint="eastAsia" w:ascii="Times New Roman" w:hAnsi="Times New Roman" w:eastAsia="宋体" w:cs="Times New Roman"/>
                <w:color w:val="auto"/>
                <w:sz w:val="24"/>
                <w:lang w:bidi="ar"/>
              </w:rPr>
              <w:t>生活污水。</w:t>
            </w:r>
          </w:p>
          <w:p>
            <w:pPr>
              <w:spacing w:line="360" w:lineRule="auto"/>
              <w:ind w:firstLine="480" w:firstLineChars="200"/>
              <w:jc w:val="left"/>
              <w:rPr>
                <w:rFonts w:ascii="Times New Roman" w:hAnsi="Times New Roman" w:eastAsia="宋体" w:cs="Times New Roman"/>
                <w:color w:val="auto"/>
                <w:sz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放射性同位素和伴有电磁辐射的设施的使用情况</w:t>
            </w:r>
          </w:p>
          <w:p>
            <w:pPr>
              <w:spacing w:line="360" w:lineRule="auto"/>
              <w:ind w:firstLine="480" w:firstLineChars="200"/>
              <w:jc w:val="left"/>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本项目无放射性同位素和伴有电磁辐射的设施。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743" w:type="dxa"/>
            <w:gridSpan w:val="8"/>
            <w:tcBorders>
              <w:top w:val="single" w:color="auto" w:sz="6" w:space="0"/>
              <w:left w:val="single" w:color="auto" w:sz="12" w:space="0"/>
              <w:bottom w:val="single" w:color="auto" w:sz="6" w:space="0"/>
              <w:right w:val="single" w:color="auto" w:sz="12" w:space="0"/>
            </w:tcBorders>
            <w:shd w:val="clear" w:color="auto" w:fill="auto"/>
            <w:vAlign w:val="center"/>
          </w:tcPr>
          <w:p>
            <w:pPr>
              <w:spacing w:line="360" w:lineRule="auto"/>
              <w:ind w:firstLine="482" w:firstLineChars="200"/>
              <w:rPr>
                <w:rFonts w:ascii="Times New Roman" w:hAnsi="Times New Roman" w:eastAsia="宋体" w:cs="Times New Roman"/>
                <w:color w:val="auto"/>
                <w:sz w:val="24"/>
              </w:rPr>
            </w:pPr>
            <w:r>
              <w:rPr>
                <w:rFonts w:ascii="Times New Roman" w:hAnsi="Times New Roman" w:eastAsia="宋体" w:cs="Times New Roman"/>
                <w:b/>
                <w:color w:val="auto"/>
                <w:sz w:val="24"/>
                <w:lang w:bidi="ar"/>
              </w:rPr>
              <w:t>工程内容及规模</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、项目概况及由来</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常州市燕青生物质能源有限公司位于常州市武进区嘉泽镇满墩，成立于2008年8月29日，经营范围：木屑生物质颗粒燃料加工。常州市燕青生物质能源有限公司“2万吨/年木屑生物质颗粒燃料加工项目”已于2013年11月25日取得常州市武进区环保局环评批复，投产后未申请验收，于2016年9月编制《纳入环境保护登记管理建设项目自查评估报告》，符合“登记一批”要求。</w:t>
            </w:r>
          </w:p>
          <w:p>
            <w:pPr>
              <w:spacing w:line="360" w:lineRule="auto"/>
              <w:ind w:firstLine="480" w:firstLineChars="200"/>
              <w:rPr>
                <w:rFonts w:hint="eastAsia" w:ascii="Times New Roman" w:hAnsi="Times New Roman" w:eastAsia="宋体" w:cs="Times New Roman"/>
                <w:color w:val="auto"/>
                <w:sz w:val="24"/>
                <w:lang w:bidi="ar"/>
              </w:rPr>
            </w:pPr>
            <w:r>
              <w:rPr>
                <w:rFonts w:hint="eastAsia" w:ascii="Times New Roman" w:hAnsi="Times New Roman" w:eastAsia="宋体" w:cs="Times New Roman"/>
                <w:color w:val="auto"/>
                <w:sz w:val="24"/>
                <w:lang w:val="en-US" w:eastAsia="zh-CN" w:bidi="ar"/>
              </w:rPr>
              <w:t>本项目拟</w:t>
            </w:r>
            <w:r>
              <w:rPr>
                <w:rFonts w:hint="eastAsia" w:ascii="Times New Roman" w:hAnsi="Times New Roman" w:eastAsia="宋体" w:cs="Times New Roman"/>
                <w:color w:val="auto"/>
                <w:sz w:val="24"/>
                <w:lang w:bidi="ar"/>
              </w:rPr>
              <w:t>投资</w:t>
            </w:r>
            <w:r>
              <w:rPr>
                <w:rFonts w:hint="eastAsia" w:ascii="Times New Roman" w:hAnsi="Times New Roman" w:eastAsia="宋体" w:cs="Times New Roman"/>
                <w:color w:val="auto"/>
                <w:sz w:val="24"/>
                <w:lang w:val="en-US" w:eastAsia="zh-CN" w:bidi="ar"/>
              </w:rPr>
              <w:t>800</w:t>
            </w:r>
            <w:r>
              <w:rPr>
                <w:rFonts w:hint="eastAsia" w:ascii="Times New Roman" w:hAnsi="Times New Roman" w:eastAsia="宋体" w:cs="Times New Roman"/>
                <w:color w:val="auto"/>
                <w:sz w:val="24"/>
                <w:lang w:bidi="ar"/>
              </w:rPr>
              <w:t>万元，租用厂房1500平米，新购置烘干机、热风炉等设备2台（套）以提升产品质量和生产能力。项目建成后，形成年产3万吨生物质压力块的生产能力。建设单位已于201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29</w:t>
            </w:r>
            <w:r>
              <w:rPr>
                <w:rFonts w:hint="eastAsia" w:ascii="Times New Roman" w:hAnsi="Times New Roman" w:eastAsia="宋体" w:cs="Times New Roman"/>
                <w:color w:val="auto"/>
                <w:sz w:val="24"/>
                <w:lang w:bidi="ar"/>
              </w:rPr>
              <w:t>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（备案号：武行审技备[2019]40号）。</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不新增员工</w:t>
            </w:r>
            <w:r>
              <w:rPr>
                <w:rFonts w:hint="eastAsia" w:ascii="Times New Roman" w:hAnsi="Times New Roman" w:eastAsia="宋体" w:cs="Times New Roman"/>
                <w:color w:val="auto"/>
                <w:sz w:val="24"/>
                <w:lang w:bidi="ar"/>
              </w:rPr>
              <w:t>，年工作时间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三</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、工程内容及规模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建成后</w:t>
            </w:r>
            <w:r>
              <w:rPr>
                <w:rFonts w:ascii="Times New Roman" w:hAnsi="Times New Roman" w:eastAsia="宋体" w:cs="Times New Roman"/>
                <w:color w:val="auto"/>
                <w:sz w:val="24"/>
                <w:lang w:bidi="ar"/>
              </w:rPr>
              <w:t>产品方案见表1-1</w:t>
            </w:r>
            <w:r>
              <w:rPr>
                <w:rFonts w:hint="eastAsia" w:ascii="宋体" w:hAnsi="宋体" w:eastAsia="宋体" w:cs="宋体"/>
                <w:color w:val="auto"/>
                <w:sz w:val="24"/>
                <w:lang w:bidi="ar"/>
              </w:rPr>
              <w:t>。</w:t>
            </w:r>
          </w:p>
          <w:p>
            <w:pPr>
              <w:pStyle w:val="26"/>
              <w:widowControl/>
              <w:rPr>
                <w:color w:val="auto"/>
              </w:rPr>
            </w:pPr>
            <w:r>
              <w:rPr>
                <w:color w:val="auto"/>
              </w:rPr>
              <w:t>表1-1</w:t>
            </w:r>
            <w:r>
              <w:rPr>
                <w:rFonts w:hint="eastAsia" w:ascii="宋体" w:hAnsi="宋体" w:cs="宋体"/>
                <w:color w:val="auto"/>
              </w:rPr>
              <w:t>本项目</w:t>
            </w:r>
            <w:r>
              <w:rPr>
                <w:rFonts w:hint="eastAsia" w:ascii="宋体" w:hAnsi="宋体" w:cs="宋体"/>
                <w:color w:val="auto"/>
                <w:lang w:val="en-US" w:eastAsia="zh-CN"/>
              </w:rPr>
              <w:t>建成后全厂</w:t>
            </w:r>
            <w:r>
              <w:rPr>
                <w:rFonts w:hint="eastAsia" w:ascii="宋体" w:hAnsi="宋体" w:cs="宋体"/>
                <w:color w:val="auto"/>
              </w:rPr>
              <w:t>产品方案</w:t>
            </w: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569"/>
              <w:gridCol w:w="1355"/>
              <w:gridCol w:w="1368"/>
              <w:gridCol w:w="142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1" w:type="dxa"/>
                  <w:vMerge w:val="restart"/>
                  <w:tcBorders>
                    <w:top w:val="single" w:color="auto" w:sz="4" w:space="0"/>
                    <w:left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b/>
                      <w:color w:val="auto"/>
                      <w:lang w:val="en-US" w:eastAsia="zh-CN"/>
                    </w:rPr>
                  </w:pPr>
                  <w:r>
                    <w:rPr>
                      <w:rFonts w:hint="eastAsia"/>
                      <w:b/>
                      <w:color w:val="auto"/>
                      <w:lang w:val="en-US" w:eastAsia="zh-CN"/>
                    </w:rPr>
                    <w:t>序号</w:t>
                  </w:r>
                </w:p>
              </w:tc>
              <w:tc>
                <w:tcPr>
                  <w:tcW w:w="2569" w:type="dxa"/>
                  <w:vMerge w:val="restart"/>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产品名称</w:t>
                  </w:r>
                </w:p>
              </w:tc>
              <w:tc>
                <w:tcPr>
                  <w:tcW w:w="4150" w:type="dxa"/>
                  <w:gridSpan w:val="3"/>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r>
                    <w:rPr>
                      <w:rFonts w:hint="eastAsia"/>
                      <w:b/>
                      <w:color w:val="auto"/>
                      <w:lang w:val="en-US" w:eastAsia="zh-CN"/>
                    </w:rPr>
                    <w:t>生产规模</w:t>
                  </w:r>
                </w:p>
              </w:tc>
              <w:tc>
                <w:tcPr>
                  <w:tcW w:w="1147" w:type="dxa"/>
                  <w:vMerge w:val="restart"/>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b/>
                      <w:color w:val="auto"/>
                      <w:lang w:val="en-US" w:eastAsia="zh-CN"/>
                    </w:rPr>
                  </w:pPr>
                  <w:r>
                    <w:rPr>
                      <w:rFonts w:hint="eastAsia"/>
                      <w:b/>
                      <w:color w:val="auto"/>
                      <w:lang w:val="en-US" w:eastAsia="zh-CN"/>
                    </w:rPr>
                    <w:t>生产时间（h）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1" w:type="dxa"/>
                  <w:vMerge w:val="continue"/>
                  <w:tcBorders>
                    <w:left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p>
              </w:tc>
              <w:tc>
                <w:tcPr>
                  <w:tcW w:w="2569" w:type="dxa"/>
                  <w:vMerge w:val="continue"/>
                  <w:tcBorders>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p>
              </w:tc>
              <w:tc>
                <w:tcPr>
                  <w:tcW w:w="1355"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r>
                    <w:rPr>
                      <w:rFonts w:hint="eastAsia"/>
                      <w:b/>
                      <w:color w:val="auto"/>
                      <w:lang w:val="en-US" w:eastAsia="zh-CN"/>
                    </w:rPr>
                    <w:t>原有项目</w:t>
                  </w:r>
                </w:p>
              </w:tc>
              <w:tc>
                <w:tcPr>
                  <w:tcW w:w="1368"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r>
                    <w:rPr>
                      <w:rFonts w:hint="eastAsia"/>
                      <w:b/>
                      <w:color w:val="auto"/>
                      <w:lang w:val="en-US" w:eastAsia="zh-CN"/>
                    </w:rPr>
                    <w:t>本项目</w:t>
                  </w:r>
                </w:p>
              </w:tc>
              <w:tc>
                <w:tcPr>
                  <w:tcW w:w="1427" w:type="dxa"/>
                  <w:tcBorders>
                    <w:top w:val="single" w:color="auto" w:sz="4" w:space="0"/>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r>
                    <w:rPr>
                      <w:rFonts w:hint="eastAsia"/>
                      <w:b/>
                      <w:color w:val="auto"/>
                      <w:lang w:val="en-US" w:eastAsia="zh-CN"/>
                    </w:rPr>
                    <w:t>建成后全厂</w:t>
                  </w:r>
                </w:p>
              </w:tc>
              <w:tc>
                <w:tcPr>
                  <w:tcW w:w="1147" w:type="dxa"/>
                  <w:vMerge w:val="continue"/>
                  <w:tcBorders>
                    <w:left w:val="nil"/>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b/>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eastAsia="宋体"/>
                      <w:color w:val="auto"/>
                      <w:lang w:val="en-US" w:eastAsia="zh-CN"/>
                    </w:rPr>
                  </w:pPr>
                  <w:r>
                    <w:rPr>
                      <w:rFonts w:hint="eastAsia"/>
                      <w:color w:val="auto"/>
                      <w:lang w:val="en-US" w:eastAsia="zh-CN"/>
                    </w:rPr>
                    <w:t>1</w:t>
                  </w:r>
                </w:p>
              </w:tc>
              <w:tc>
                <w:tcPr>
                  <w:tcW w:w="2569"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木屑生物质颗粒燃料加工</w:t>
                  </w:r>
                </w:p>
              </w:tc>
              <w:tc>
                <w:tcPr>
                  <w:tcW w:w="1355"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2万吨/a</w:t>
                  </w:r>
                </w:p>
              </w:tc>
              <w:tc>
                <w:tcPr>
                  <w:tcW w:w="1368"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color w:val="auto"/>
                      <w:lang w:val="en-US" w:eastAsia="zh-CN"/>
                    </w:rPr>
                  </w:pPr>
                  <w:r>
                    <w:rPr>
                      <w:rFonts w:hint="eastAsia"/>
                      <w:color w:val="auto"/>
                      <w:lang w:val="en-US" w:eastAsia="zh-CN"/>
                    </w:rPr>
                    <w:t>1万吨/a</w:t>
                  </w:r>
                </w:p>
              </w:tc>
              <w:tc>
                <w:tcPr>
                  <w:tcW w:w="1427"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eastAsia"/>
                      <w:color w:val="auto"/>
                      <w:lang w:val="en-US" w:eastAsia="zh-CN"/>
                    </w:rPr>
                  </w:pPr>
                  <w:r>
                    <w:rPr>
                      <w:rFonts w:hint="eastAsia"/>
                      <w:color w:val="auto"/>
                      <w:lang w:val="en-US" w:eastAsia="zh-CN"/>
                    </w:rPr>
                    <w:t>3万吨/a</w:t>
                  </w:r>
                </w:p>
              </w:tc>
              <w:tc>
                <w:tcPr>
                  <w:tcW w:w="1147"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textAlignment w:val="auto"/>
                    <w:rPr>
                      <w:rFonts w:hint="default" w:eastAsia="宋体"/>
                      <w:color w:val="auto"/>
                      <w:lang w:val="en-US" w:eastAsia="zh-CN"/>
                    </w:rPr>
                  </w:pPr>
                  <w:r>
                    <w:rPr>
                      <w:rFonts w:hint="eastAsia"/>
                      <w:color w:val="auto"/>
                      <w:lang w:val="en-US" w:eastAsia="zh-CN"/>
                    </w:rPr>
                    <w:t>7200</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、建设项目主要原辅材料</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建设项目生产所需原辅材料见表1-2</w:t>
            </w:r>
            <w:r>
              <w:rPr>
                <w:rFonts w:hint="eastAsia" w:ascii="宋体" w:hAnsi="宋体" w:eastAsia="宋体" w:cs="宋体"/>
                <w:color w:val="auto"/>
                <w:sz w:val="24"/>
                <w:lang w:bidi="ar"/>
              </w:rPr>
              <w:t>。</w:t>
            </w:r>
          </w:p>
          <w:p>
            <w:pPr>
              <w:pStyle w:val="26"/>
              <w:widowControl/>
              <w:rPr>
                <w:color w:val="auto"/>
              </w:rPr>
            </w:pPr>
            <w:r>
              <w:rPr>
                <w:color w:val="auto"/>
              </w:rPr>
              <w:t>表1-2</w:t>
            </w:r>
            <w:r>
              <w:rPr>
                <w:rFonts w:hint="eastAsia" w:ascii="宋体" w:hAnsi="宋体" w:cs="宋体"/>
                <w:color w:val="auto"/>
              </w:rPr>
              <w:t>主要原辅材料及消耗表（</w:t>
            </w:r>
            <w:r>
              <w:rPr>
                <w:color w:val="auto"/>
              </w:rPr>
              <w:t>t/a</w:t>
            </w:r>
            <w:r>
              <w:rPr>
                <w:rFonts w:hint="eastAsia" w:ascii="宋体" w:hAnsi="宋体" w:cs="宋体"/>
                <w:color w:val="auto"/>
              </w:rPr>
              <w:t>）</w:t>
            </w:r>
          </w:p>
          <w:tbl>
            <w:tblPr>
              <w:tblStyle w:val="15"/>
              <w:tblW w:w="851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699"/>
              <w:gridCol w:w="1281"/>
              <w:gridCol w:w="770"/>
              <w:gridCol w:w="1343"/>
              <w:gridCol w:w="1182"/>
              <w:gridCol w:w="1182"/>
              <w:gridCol w:w="974"/>
              <w:gridCol w:w="108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0" w:hRule="atLeast"/>
              </w:trPr>
              <w:tc>
                <w:tcPr>
                  <w:tcW w:w="699" w:type="dxa"/>
                  <w:vMerge w:val="restart"/>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281"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名称</w:t>
                  </w:r>
                </w:p>
              </w:tc>
              <w:tc>
                <w:tcPr>
                  <w:tcW w:w="77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组分</w:t>
                  </w:r>
                </w:p>
              </w:tc>
              <w:tc>
                <w:tcPr>
                  <w:tcW w:w="3707" w:type="dxa"/>
                  <w:gridSpan w:val="3"/>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数量</w:t>
                  </w:r>
                </w:p>
              </w:tc>
              <w:tc>
                <w:tcPr>
                  <w:tcW w:w="97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最大存储量</w:t>
                  </w:r>
                </w:p>
              </w:tc>
              <w:tc>
                <w:tcPr>
                  <w:tcW w:w="1085" w:type="dxa"/>
                  <w:vMerge w:val="restart"/>
                  <w:tcBorders>
                    <w:lef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color w:val="000000"/>
                      <w:sz w:val="21"/>
                      <w:szCs w:val="21"/>
                      <w:u w:val="none"/>
                      <w:lang w:val="en-US" w:eastAsia="zh-CN"/>
                    </w:rPr>
                  </w:pPr>
                  <w:r>
                    <w:rPr>
                      <w:rFonts w:hint="eastAsia" w:ascii="宋体" w:hAnsi="宋体" w:eastAsia="宋体" w:cs="宋体"/>
                      <w:b/>
                      <w:bCs/>
                      <w:i w:val="0"/>
                      <w:color w:val="000000"/>
                      <w:sz w:val="21"/>
                      <w:szCs w:val="21"/>
                      <w:u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699"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p>
              </w:tc>
              <w:tc>
                <w:tcPr>
                  <w:tcW w:w="12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p>
              </w:tc>
              <w:tc>
                <w:tcPr>
                  <w:tcW w:w="7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p>
              </w:tc>
              <w:tc>
                <w:tcPr>
                  <w:tcW w:w="134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i w:val="0"/>
                      <w:color w:val="000000"/>
                      <w:kern w:val="0"/>
                      <w:sz w:val="21"/>
                      <w:szCs w:val="21"/>
                      <w:u w:val="none"/>
                      <w:lang w:val="en-US" w:eastAsia="zh-CN" w:bidi="ar"/>
                    </w:rPr>
                  </w:pPr>
                  <w:r>
                    <w:rPr>
                      <w:rFonts w:hint="eastAsia"/>
                      <w:b/>
                      <w:color w:val="auto"/>
                      <w:lang w:val="en-US" w:eastAsia="zh-CN"/>
                    </w:rPr>
                    <w:t>原有项目</w:t>
                  </w:r>
                </w:p>
              </w:tc>
              <w:tc>
                <w:tcPr>
                  <w:tcW w:w="1182"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i w:val="0"/>
                      <w:color w:val="000000"/>
                      <w:kern w:val="0"/>
                      <w:sz w:val="21"/>
                      <w:szCs w:val="21"/>
                      <w:u w:val="none"/>
                      <w:lang w:val="en-US" w:eastAsia="zh-CN" w:bidi="ar"/>
                    </w:rPr>
                  </w:pPr>
                  <w:r>
                    <w:rPr>
                      <w:rFonts w:hint="eastAsia"/>
                      <w:b/>
                      <w:color w:val="auto"/>
                      <w:lang w:val="en-US" w:eastAsia="zh-CN"/>
                    </w:rPr>
                    <w:t>本项目</w:t>
                  </w:r>
                </w:p>
              </w:tc>
              <w:tc>
                <w:tcPr>
                  <w:tcW w:w="1182"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b/>
                      <w:color w:val="auto"/>
                      <w:lang w:val="en-US" w:eastAsia="zh-CN"/>
                    </w:rPr>
                    <w:t>本项目建成后全厂</w:t>
                  </w:r>
                </w:p>
              </w:tc>
              <w:tc>
                <w:tcPr>
                  <w:tcW w:w="9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p>
              </w:tc>
              <w:tc>
                <w:tcPr>
                  <w:tcW w:w="1085" w:type="dxa"/>
                  <w:vMerge w:val="continue"/>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699"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木屑、刨花</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20010</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10005</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30015</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08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40" w:hRule="atLeast"/>
              </w:trPr>
              <w:tc>
                <w:tcPr>
                  <w:tcW w:w="699"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生物质燃料</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见表1-3</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108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本项目产品</w:t>
                  </w:r>
                </w:p>
              </w:tc>
            </w:tr>
          </w:tbl>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hint="eastAsia" w:ascii="Times New Roman" w:hAnsi="Times New Roman" w:eastAsia="宋体" w:cs="Times New Roman"/>
                <w:b w:val="0"/>
                <w:bCs/>
                <w:color w:val="auto"/>
                <w:sz w:val="24"/>
                <w:lang w:val="en-US" w:eastAsia="zh-CN" w:bidi="ar"/>
              </w:rPr>
              <w:t>本项目新增烘干机、热风炉使用本项目产品生物质颗粒燃料作为燃料，燃料分析结果见表1-3。</w:t>
            </w:r>
          </w:p>
          <w:p>
            <w:pPr>
              <w:spacing w:line="360" w:lineRule="auto"/>
              <w:ind w:firstLine="482" w:firstLineChars="200"/>
              <w:jc w:val="center"/>
              <w:rPr>
                <w:rFonts w:hint="eastAsia" w:ascii="Times New Roman" w:hAnsi="Times New Roman" w:eastAsia="宋体" w:cs="Times New Roman"/>
                <w:b/>
                <w:bCs w:val="0"/>
                <w:color w:val="auto"/>
                <w:sz w:val="24"/>
                <w:szCs w:val="24"/>
                <w:lang w:val="en-US" w:eastAsia="zh-CN" w:bidi="ar"/>
              </w:rPr>
            </w:pPr>
          </w:p>
          <w:p>
            <w:pPr>
              <w:spacing w:line="360" w:lineRule="auto"/>
              <w:ind w:firstLine="482" w:firstLineChars="200"/>
              <w:jc w:val="center"/>
              <w:rPr>
                <w:rFonts w:hint="eastAsia" w:ascii="Times New Roman" w:hAnsi="Times New Roman" w:eastAsia="宋体" w:cs="Times New Roman"/>
                <w:b/>
                <w:bCs w:val="0"/>
                <w:color w:val="auto"/>
                <w:sz w:val="24"/>
                <w:szCs w:val="24"/>
                <w:lang w:val="en-US" w:eastAsia="zh-CN" w:bidi="ar"/>
              </w:rPr>
            </w:pPr>
          </w:p>
          <w:p>
            <w:pPr>
              <w:spacing w:line="360" w:lineRule="auto"/>
              <w:ind w:firstLine="482" w:firstLineChars="200"/>
              <w:jc w:val="center"/>
              <w:rPr>
                <w:rFonts w:hint="eastAsia" w:ascii="Times New Roman" w:hAnsi="Times New Roman" w:eastAsia="宋体" w:cs="Times New Roman"/>
                <w:b/>
                <w:bCs w:val="0"/>
                <w:color w:val="auto"/>
                <w:sz w:val="24"/>
                <w:szCs w:val="24"/>
                <w:lang w:val="en-US" w:eastAsia="zh-CN" w:bidi="ar"/>
              </w:rPr>
            </w:pPr>
          </w:p>
          <w:p>
            <w:pPr>
              <w:spacing w:line="360" w:lineRule="auto"/>
              <w:ind w:firstLine="482" w:firstLineChars="200"/>
              <w:jc w:val="center"/>
              <w:rPr>
                <w:rFonts w:hint="eastAsia"/>
                <w:b/>
                <w:bCs w:val="0"/>
                <w:color w:val="auto"/>
                <w:sz w:val="24"/>
                <w:szCs w:val="24"/>
                <w:lang w:val="en-US" w:eastAsia="zh-CN"/>
              </w:rPr>
            </w:pPr>
            <w:r>
              <w:rPr>
                <w:rFonts w:hint="eastAsia" w:ascii="Times New Roman" w:hAnsi="Times New Roman" w:eastAsia="宋体" w:cs="Times New Roman"/>
                <w:b/>
                <w:bCs w:val="0"/>
                <w:color w:val="auto"/>
                <w:sz w:val="24"/>
                <w:szCs w:val="24"/>
                <w:lang w:val="en-US" w:eastAsia="zh-CN" w:bidi="ar"/>
              </w:rPr>
              <w:t xml:space="preserve">表1-3 </w:t>
            </w:r>
            <w:r>
              <w:rPr>
                <w:rFonts w:hint="eastAsia"/>
                <w:b/>
                <w:bCs w:val="0"/>
                <w:color w:val="auto"/>
                <w:sz w:val="24"/>
                <w:szCs w:val="24"/>
                <w:lang w:val="en-US" w:eastAsia="zh-CN"/>
              </w:rPr>
              <w:t>木屑生物质颗粒燃料分析结果</w:t>
            </w:r>
          </w:p>
          <w:tbl>
            <w:tblPr>
              <w:tblStyle w:val="16"/>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64"/>
              <w:gridCol w:w="1752"/>
              <w:gridCol w:w="184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序号</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项目</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符号</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单位</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检测结果/收到基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1</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碳</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C</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39.95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2</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氢</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H</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3</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氧</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O</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4</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硫</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S</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5</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氮</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N</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6</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灰分</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A</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7</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水分</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M</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8</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挥发分</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V</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79.37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9</w:t>
                  </w:r>
                </w:p>
              </w:tc>
              <w:tc>
                <w:tcPr>
                  <w:tcW w:w="1764"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发热量</w:t>
                  </w:r>
                </w:p>
              </w:tc>
              <w:tc>
                <w:tcPr>
                  <w:tcW w:w="175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Q</w:t>
                  </w:r>
                  <w:r>
                    <w:rPr>
                      <w:rFonts w:hint="eastAsia"/>
                      <w:color w:val="auto"/>
                      <w:vertAlign w:val="subscript"/>
                      <w:lang w:val="en-US" w:eastAsia="zh-CN"/>
                    </w:rPr>
                    <w:t>net,v,ar</w:t>
                  </w:r>
                </w:p>
              </w:tc>
              <w:tc>
                <w:tcPr>
                  <w:tcW w:w="1848"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w:t>
                  </w:r>
                </w:p>
              </w:tc>
              <w:tc>
                <w:tcPr>
                  <w:tcW w:w="2212" w:type="dxa"/>
                  <w:vAlign w:val="center"/>
                </w:tcPr>
                <w:p>
                  <w:pPr>
                    <w:spacing w:line="240" w:lineRule="auto"/>
                    <w:jc w:val="center"/>
                    <w:rPr>
                      <w:rFonts w:hint="eastAsia"/>
                      <w:color w:val="auto"/>
                      <w:vertAlign w:val="baseline"/>
                      <w:lang w:val="en-US" w:eastAsia="zh-CN"/>
                    </w:rPr>
                  </w:pPr>
                  <w:r>
                    <w:rPr>
                      <w:rFonts w:hint="eastAsia"/>
                      <w:color w:val="auto"/>
                      <w:vertAlign w:val="baseline"/>
                      <w:lang w:val="en-US" w:eastAsia="zh-CN"/>
                    </w:rPr>
                    <w:t>18.96</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4</w:t>
            </w:r>
            <w:r>
              <w:rPr>
                <w:rFonts w:hint="eastAsia" w:ascii="宋体" w:hAnsi="宋体" w:eastAsia="宋体" w:cs="宋体"/>
                <w:b/>
                <w:color w:val="auto"/>
                <w:sz w:val="24"/>
                <w:lang w:bidi="ar"/>
              </w:rPr>
              <w:t>、主要生产设备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本项目建成后运营期间主要设备见表1-</w:t>
            </w:r>
            <w:r>
              <w:rPr>
                <w:rFonts w:hint="eastAsia" w:ascii="Times New Roman" w:hAnsi="Times New Roman" w:eastAsia="宋体" w:cs="Times New Roman"/>
                <w:color w:val="auto"/>
                <w:sz w:val="24"/>
                <w:lang w:val="en-US" w:eastAsia="zh-CN" w:bidi="ar"/>
              </w:rPr>
              <w:t>4</w:t>
            </w:r>
            <w:r>
              <w:rPr>
                <w:rFonts w:ascii="Times New Roman" w:hAnsi="Times New Roman" w:eastAsia="宋体" w:cs="Times New Roman"/>
                <w:color w:val="auto"/>
                <w:sz w:val="24"/>
                <w:lang w:bidi="ar"/>
              </w:rPr>
              <w:t>。</w:t>
            </w:r>
          </w:p>
          <w:p>
            <w:pPr>
              <w:pStyle w:val="26"/>
              <w:widowControl/>
              <w:rPr>
                <w:color w:val="auto"/>
              </w:rPr>
            </w:pPr>
            <w:r>
              <w:rPr>
                <w:color w:val="auto"/>
              </w:rPr>
              <w:t>表1-</w:t>
            </w:r>
            <w:r>
              <w:rPr>
                <w:rFonts w:hint="eastAsia"/>
                <w:color w:val="auto"/>
                <w:lang w:val="en-US" w:eastAsia="zh-CN"/>
              </w:rPr>
              <w:t>4</w:t>
            </w:r>
            <w:r>
              <w:rPr>
                <w:rFonts w:hint="eastAsia"/>
                <w:color w:val="auto"/>
              </w:rPr>
              <w:t xml:space="preserve"> </w:t>
            </w:r>
            <w:r>
              <w:rPr>
                <w:color w:val="auto"/>
              </w:rPr>
              <w:t>运营期间</w:t>
            </w:r>
            <w:r>
              <w:rPr>
                <w:rFonts w:hint="eastAsia"/>
                <w:color w:val="auto"/>
              </w:rPr>
              <w:t>生产</w:t>
            </w:r>
            <w:r>
              <w:rPr>
                <w:color w:val="auto"/>
              </w:rPr>
              <w:t>设备一览表</w:t>
            </w:r>
          </w:p>
          <w:tbl>
            <w:tblPr>
              <w:tblStyle w:val="15"/>
              <w:tblW w:w="8522" w:type="dxa"/>
              <w:tblInd w:w="0" w:type="dxa"/>
              <w:shd w:val="clear" w:color="auto" w:fill="auto"/>
              <w:tblLayout w:type="fixed"/>
              <w:tblCellMar>
                <w:top w:w="0" w:type="dxa"/>
                <w:left w:w="0" w:type="dxa"/>
                <w:bottom w:w="0" w:type="dxa"/>
                <w:right w:w="0" w:type="dxa"/>
              </w:tblCellMar>
            </w:tblPr>
            <w:tblGrid>
              <w:gridCol w:w="771"/>
              <w:gridCol w:w="1884"/>
              <w:gridCol w:w="997"/>
              <w:gridCol w:w="1223"/>
              <w:gridCol w:w="1211"/>
              <w:gridCol w:w="1"/>
              <w:gridCol w:w="1217"/>
              <w:gridCol w:w="1217"/>
              <w:gridCol w:w="1"/>
            </w:tblGrid>
            <w:tr>
              <w:tblPrEx>
                <w:tblLayout w:type="fixed"/>
                <w:tblCellMar>
                  <w:top w:w="0" w:type="dxa"/>
                  <w:left w:w="0" w:type="dxa"/>
                  <w:bottom w:w="0" w:type="dxa"/>
                  <w:right w:w="0" w:type="dxa"/>
                </w:tblCellMar>
              </w:tblPrEx>
              <w:trPr>
                <w:trHeight w:val="340" w:hRule="atLeast"/>
              </w:trPr>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8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设备名称</w:t>
                  </w:r>
                </w:p>
              </w:tc>
              <w:tc>
                <w:tcPr>
                  <w:tcW w:w="9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规格/型号</w:t>
                  </w:r>
                </w:p>
              </w:tc>
              <w:tc>
                <w:tcPr>
                  <w:tcW w:w="3652" w:type="dxa"/>
                  <w:gridSpan w:val="4"/>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数量（台）</w:t>
                  </w:r>
                </w:p>
              </w:tc>
              <w:tc>
                <w:tcPr>
                  <w:tcW w:w="121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340" w:hRule="atLeast"/>
              </w:trPr>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22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原有项目</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本项目</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建成后全厂</w:t>
                  </w:r>
                </w:p>
              </w:tc>
              <w:tc>
                <w:tcPr>
                  <w:tcW w:w="121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切片机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粉碎机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分料筛</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皮带机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8</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送料绞龙</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烘干机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本项目新增</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热风炉</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本项目新增</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提升机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刮板机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四联沙克龙</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sz w:val="21"/>
                      <w:szCs w:val="21"/>
                      <w:u w:val="none"/>
                      <w:lang w:val="en-US" w:eastAsia="zh-CN"/>
                    </w:rPr>
                    <w:t>布袋除尘装置</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料仓</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10</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制料机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冷却震动筛</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14</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小沙克龙除尘器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布袋除尘装置</w:t>
                  </w:r>
                </w:p>
              </w:tc>
            </w:tr>
            <w:tr>
              <w:tblPrEx>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自动打包机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r>
              <w:tblPrEx>
                <w:shd w:val="clear" w:color="auto" w:fill="auto"/>
                <w:tblLayout w:type="fixed"/>
                <w:tblCellMar>
                  <w:top w:w="0" w:type="dxa"/>
                  <w:left w:w="0" w:type="dxa"/>
                  <w:bottom w:w="0" w:type="dxa"/>
                  <w:right w:w="0" w:type="dxa"/>
                </w:tblCellMar>
              </w:tblPrEx>
              <w:trPr>
                <w:gridAfter w:val="1"/>
                <w:wAfter w:w="1" w:type="dxa"/>
                <w:trHeight w:val="3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16</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7.5kW空气压缩机</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5</w:t>
            </w:r>
            <w:r>
              <w:rPr>
                <w:rFonts w:hint="eastAsia" w:ascii="宋体" w:hAnsi="宋体" w:eastAsia="宋体" w:cs="宋体"/>
                <w:b/>
                <w:color w:val="auto"/>
                <w:sz w:val="24"/>
                <w:lang w:bidi="ar"/>
              </w:rPr>
              <w:t>、公用及辅助工程</w:t>
            </w:r>
          </w:p>
          <w:p>
            <w:pPr>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本项目公用及辅助工程情况见表1-</w:t>
            </w:r>
            <w:r>
              <w:rPr>
                <w:rFonts w:hint="eastAsia" w:ascii="Times New Roman" w:hAnsi="Times New Roman" w:eastAsia="宋体" w:cs="Times New Roman"/>
                <w:color w:val="auto"/>
                <w:sz w:val="24"/>
                <w:lang w:bidi="ar"/>
              </w:rPr>
              <w:t>4</w:t>
            </w:r>
            <w:r>
              <w:rPr>
                <w:rFonts w:ascii="Times New Roman" w:hAnsi="Times New Roman" w:eastAsia="宋体" w:cs="Times New Roman"/>
                <w:color w:val="auto"/>
                <w:sz w:val="24"/>
                <w:lang w:bidi="ar"/>
              </w:rPr>
              <w:t>。</w:t>
            </w:r>
          </w:p>
          <w:p>
            <w:pPr>
              <w:pStyle w:val="2"/>
            </w:pPr>
          </w:p>
          <w:p>
            <w:pPr>
              <w:pStyle w:val="26"/>
              <w:widowControl/>
              <w:rPr>
                <w:color w:val="auto"/>
              </w:rPr>
            </w:pPr>
            <w:r>
              <w:rPr>
                <w:color w:val="auto"/>
              </w:rPr>
              <w:t>表1-</w:t>
            </w:r>
            <w:r>
              <w:rPr>
                <w:rFonts w:hint="eastAsia"/>
                <w:color w:val="auto"/>
              </w:rPr>
              <w:t>4</w:t>
            </w:r>
            <w:r>
              <w:rPr>
                <w:color w:val="auto"/>
              </w:rPr>
              <w:t xml:space="preserve"> 本项目公用及辅助工程一览表</w:t>
            </w:r>
          </w:p>
          <w:tbl>
            <w:tblPr>
              <w:tblStyle w:val="15"/>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491"/>
              <w:gridCol w:w="3207"/>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类别</w:t>
                  </w: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建设名称</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设计能力</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主体工程</w:t>
                  </w: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生产车间</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1500</w:t>
                  </w:r>
                  <w:r>
                    <w:rPr>
                      <w:color w:val="auto"/>
                    </w:rPr>
                    <w:t>m</w:t>
                  </w:r>
                  <w:r>
                    <w:rPr>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位于厂区西侧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Borders>
                    <w:top w:val="nil"/>
                    <w:left w:val="single" w:color="auto" w:sz="4" w:space="0"/>
                    <w:right w:val="single" w:color="auto" w:sz="4" w:space="0"/>
                  </w:tcBorders>
                  <w:shd w:val="clear" w:color="auto" w:fill="auto"/>
                  <w:vAlign w:val="center"/>
                </w:tcPr>
                <w:p>
                  <w:pPr>
                    <w:pStyle w:val="23"/>
                    <w:widowControl/>
                    <w:rPr>
                      <w:color w:val="auto"/>
                    </w:rPr>
                  </w:pPr>
                  <w:r>
                    <w:rPr>
                      <w:color w:val="auto"/>
                    </w:rPr>
                    <w:t>贮运工程</w:t>
                  </w: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原料堆放区</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约300</w:t>
                  </w:r>
                  <w:r>
                    <w:rPr>
                      <w:color w:val="auto"/>
                    </w:rPr>
                    <w:t>m</w:t>
                  </w:r>
                  <w:r>
                    <w:rPr>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rPr>
                    <w:t>位于</w:t>
                  </w:r>
                  <w:r>
                    <w:rPr>
                      <w:rFonts w:hint="eastAsia"/>
                      <w:color w:val="auto"/>
                      <w:lang w:val="en-US" w:eastAsia="zh-CN"/>
                    </w:rPr>
                    <w:t>生产车间内</w:t>
                  </w:r>
                  <w:r>
                    <w:rPr>
                      <w:rFonts w:hint="eastAsia"/>
                      <w:color w:val="auto"/>
                      <w:lang w:eastAsia="zh-CN"/>
                    </w:rPr>
                    <w:t>，</w:t>
                  </w:r>
                  <w:r>
                    <w:rPr>
                      <w:rFonts w:hint="eastAsia"/>
                      <w:color w:val="auto"/>
                    </w:rPr>
                    <w:t>堆放原料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right w:val="single" w:color="auto" w:sz="4" w:space="0"/>
                  </w:tcBorders>
                  <w:shd w:val="clear" w:color="auto" w:fill="auto"/>
                  <w:vAlign w:val="center"/>
                </w:tcPr>
                <w:p>
                  <w:pPr>
                    <w:pStyle w:val="23"/>
                    <w:widowControl/>
                    <w:rPr>
                      <w:color w:val="auto"/>
                    </w:rPr>
                  </w:pPr>
                  <w:r>
                    <w:rPr>
                      <w:color w:val="auto"/>
                    </w:rPr>
                    <w:t>公用工程</w:t>
                  </w: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给水</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lang w:val="en-US"/>
                    </w:rPr>
                  </w:pPr>
                  <w:r>
                    <w:rPr>
                      <w:rFonts w:hint="eastAsia"/>
                      <w:color w:val="auto"/>
                      <w:lang w:val="en-US" w:eastAsia="zh-CN"/>
                    </w:rPr>
                    <w:t>本项目不新增用水</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排水</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lang w:val="en-US"/>
                    </w:rPr>
                  </w:pPr>
                  <w:r>
                    <w:rPr>
                      <w:rFonts w:hint="eastAsia"/>
                      <w:color w:val="auto"/>
                      <w:lang w:val="en-US" w:eastAsia="zh-CN"/>
                    </w:rPr>
                    <w:t>本项目不新增排水</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供电</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2</w:t>
                  </w:r>
                  <w:r>
                    <w:rPr>
                      <w:color w:val="auto"/>
                    </w:rPr>
                    <w:t>万kwh/a</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由城市电网统一供给，不另设备用发电机组，依托</w:t>
                  </w:r>
                  <w:r>
                    <w:rPr>
                      <w:rFonts w:hint="eastAsia"/>
                      <w:color w:val="auto"/>
                      <w:lang w:val="en-US" w:eastAsia="zh-CN"/>
                    </w:rPr>
                    <w:t>厂区已</w:t>
                  </w:r>
                  <w:r>
                    <w:rPr>
                      <w:color w:val="auto"/>
                    </w:rPr>
                    <w:t>有供电系统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color w:val="auto"/>
                    </w:rPr>
                  </w:pPr>
                  <w:r>
                    <w:rPr>
                      <w:color w:val="auto"/>
                    </w:rPr>
                    <w:t>环保工程</w:t>
                  </w: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rPr>
                    <w:t>废</w:t>
                  </w:r>
                  <w:r>
                    <w:rPr>
                      <w:rFonts w:hint="eastAsia"/>
                      <w:color w:val="auto"/>
                      <w:lang w:val="en-US" w:eastAsia="zh-CN"/>
                    </w:rPr>
                    <w:t>气</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rPr>
                    <w:t>本项目</w:t>
                  </w:r>
                  <w:r>
                    <w:rPr>
                      <w:rFonts w:hint="eastAsia"/>
                      <w:color w:val="auto"/>
                      <w:lang w:val="en-US" w:eastAsia="zh-CN"/>
                    </w:rPr>
                    <w:t>生物质燃料燃烧粉尘经水膜除尘处理后经20m高的排气筒排放</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噪声</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隔声、减震等噪声污染防治措施</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依托已有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491"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固废</w:t>
                  </w:r>
                </w:p>
              </w:tc>
              <w:tc>
                <w:tcPr>
                  <w:tcW w:w="3207"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一般固废堆放区</w:t>
                  </w:r>
                  <w:r>
                    <w:rPr>
                      <w:color w:val="auto"/>
                    </w:rPr>
                    <w:t>1</w:t>
                  </w:r>
                  <w:r>
                    <w:rPr>
                      <w:rFonts w:hint="eastAsia" w:ascii="宋体" w:hAnsi="宋体" w:cs="宋体"/>
                      <w:color w:val="auto"/>
                    </w:rPr>
                    <w:t>处，面积</w:t>
                  </w:r>
                  <w:r>
                    <w:rPr>
                      <w:rFonts w:hint="eastAsia" w:ascii="宋体" w:hAnsi="宋体" w:cs="宋体"/>
                      <w:color w:val="auto"/>
                      <w:lang w:val="en-US" w:eastAsia="zh-CN"/>
                    </w:rPr>
                    <w:t>2</w:t>
                  </w:r>
                  <w:r>
                    <w:rPr>
                      <w:color w:val="auto"/>
                    </w:rPr>
                    <w:t>0m</w:t>
                  </w:r>
                  <w:r>
                    <w:rPr>
                      <w:rFonts w:hint="eastAsia"/>
                      <w:color w:val="auto"/>
                      <w:vertAlign w:val="superscript"/>
                    </w:rPr>
                    <w:t>2</w:t>
                  </w:r>
                </w:p>
              </w:tc>
              <w:tc>
                <w:tcPr>
                  <w:tcW w:w="24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依托已有，位于生产车间内</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6</w:t>
            </w:r>
            <w:r>
              <w:rPr>
                <w:rFonts w:hint="eastAsia" w:ascii="宋体" w:hAnsi="宋体" w:eastAsia="宋体" w:cs="宋体"/>
                <w:b/>
                <w:color w:val="auto"/>
                <w:sz w:val="24"/>
                <w:lang w:bidi="ar"/>
              </w:rPr>
              <w:t>、厂区周边环境概况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本项目位于</w:t>
            </w:r>
            <w:r>
              <w:rPr>
                <w:rFonts w:hint="eastAsia" w:ascii="Times New Roman" w:hAnsi="Times New Roman" w:eastAsia="宋体" w:cs="Times New Roman"/>
                <w:color w:val="auto"/>
                <w:sz w:val="24"/>
                <w:lang w:val="en-US" w:eastAsia="zh-CN" w:bidi="ar"/>
              </w:rPr>
              <w:t>常州市武进区嘉泽镇满墩</w:t>
            </w: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租用常州市蒋伟木业有限公司厂房1500平米。东侧为朝阳河，隔河为常州市蒋伟木业有限公司厂房，南侧为常州市蒋伟木业有限公司厂房，西侧和北侧为空地厂区内其他厂房租赁给胡国胜作为仓库，用于堆放建筑材料。距离本项目最近敏感点为西南侧210m的满墩村。</w:t>
            </w:r>
            <w:r>
              <w:rPr>
                <w:rFonts w:ascii="Times New Roman" w:hAnsi="Times New Roman" w:eastAsia="宋体" w:cs="Times New Roman"/>
                <w:color w:val="auto"/>
                <w:sz w:val="24"/>
                <w:lang w:bidi="ar"/>
              </w:rPr>
              <w:t>厂区平面布置图见</w:t>
            </w:r>
            <w:r>
              <w:rPr>
                <w:rFonts w:ascii="Times New Roman" w:hAnsi="Times New Roman" w:eastAsia="宋体" w:cs="Times New Roman"/>
                <w:b/>
                <w:color w:val="auto"/>
                <w:sz w:val="24"/>
                <w:lang w:bidi="ar"/>
              </w:rPr>
              <w:t>附图</w:t>
            </w:r>
            <w:r>
              <w:rPr>
                <w:rFonts w:hint="eastAsia" w:ascii="Times New Roman" w:hAnsi="Times New Roman" w:eastAsia="宋体" w:cs="Times New Roman"/>
                <w:b/>
                <w:color w:val="auto"/>
                <w:sz w:val="24"/>
                <w:lang w:bidi="ar"/>
              </w:rPr>
              <w:t>2</w:t>
            </w:r>
            <w:r>
              <w:rPr>
                <w:rFonts w:ascii="Times New Roman" w:hAnsi="Times New Roman" w:eastAsia="宋体" w:cs="Times New Roman"/>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7</w:t>
            </w:r>
            <w:r>
              <w:rPr>
                <w:rFonts w:hint="eastAsia" w:ascii="宋体" w:hAnsi="宋体" w:eastAsia="宋体" w:cs="宋体"/>
                <w:b/>
                <w:color w:val="auto"/>
                <w:sz w:val="24"/>
                <w:lang w:bidi="ar"/>
              </w:rPr>
              <w:t>、环保投资</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建设项目环保投资</w:t>
            </w:r>
            <w:r>
              <w:rPr>
                <w:rFonts w:hint="eastAsia" w:ascii="Times New Roman" w:hAnsi="Times New Roman" w:eastAsia="宋体" w:cs="Times New Roman"/>
                <w:color w:val="auto"/>
                <w:sz w:val="24"/>
                <w:lang w:val="en-US" w:eastAsia="zh-CN" w:bidi="ar"/>
              </w:rPr>
              <w:t>10</w:t>
            </w:r>
            <w:r>
              <w:rPr>
                <w:rFonts w:ascii="Times New Roman" w:hAnsi="Times New Roman" w:eastAsia="宋体" w:cs="Times New Roman"/>
                <w:color w:val="auto"/>
                <w:sz w:val="24"/>
                <w:lang w:bidi="ar"/>
              </w:rPr>
              <w:t>万元人民币，占总投资额的</w:t>
            </w:r>
            <w:r>
              <w:rPr>
                <w:rFonts w:hint="eastAsia" w:ascii="Times New Roman" w:hAnsi="Times New Roman" w:eastAsia="宋体" w:cs="Times New Roman"/>
                <w:color w:val="auto"/>
                <w:sz w:val="24"/>
                <w:lang w:val="en-US" w:eastAsia="zh-CN" w:bidi="ar"/>
              </w:rPr>
              <w:t>1.25</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。具体见下表。</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表1-</w:t>
            </w:r>
            <w:r>
              <w:rPr>
                <w:rFonts w:hint="eastAsia" w:ascii="Times New Roman" w:hAnsi="Times New Roman" w:eastAsia="宋体" w:cs="Times New Roman"/>
                <w:b/>
                <w:color w:val="auto"/>
                <w:sz w:val="24"/>
                <w:lang w:val="en-US" w:eastAsia="zh-CN" w:bidi="ar"/>
              </w:rPr>
              <w:t>5</w:t>
            </w:r>
            <w:r>
              <w:rPr>
                <w:rFonts w:ascii="Times New Roman" w:hAnsi="Times New Roman" w:eastAsia="宋体" w:cs="Times New Roman"/>
                <w:b/>
                <w:color w:val="auto"/>
                <w:sz w:val="24"/>
                <w:lang w:bidi="ar"/>
              </w:rPr>
              <w:t xml:space="preserve"> </w:t>
            </w:r>
            <w:r>
              <w:rPr>
                <w:rFonts w:hint="eastAsia" w:ascii="宋体" w:hAnsi="宋体" w:eastAsia="宋体" w:cs="宋体"/>
                <w:b/>
                <w:color w:val="auto"/>
                <w:sz w:val="24"/>
                <w:lang w:bidi="ar"/>
              </w:rPr>
              <w:t>环保投资一览表</w:t>
            </w:r>
          </w:p>
          <w:tbl>
            <w:tblPr>
              <w:tblStyle w:val="15"/>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70"/>
              <w:gridCol w:w="1803"/>
              <w:gridCol w:w="1262"/>
              <w:gridCol w:w="251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序号</w:t>
                  </w:r>
                </w:p>
              </w:tc>
              <w:tc>
                <w:tcPr>
                  <w:tcW w:w="970"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内容</w:t>
                  </w:r>
                </w:p>
              </w:tc>
              <w:tc>
                <w:tcPr>
                  <w:tcW w:w="1803"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项目</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投资（万元）</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预期效果</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1</w:t>
                  </w:r>
                </w:p>
              </w:tc>
              <w:tc>
                <w:tcPr>
                  <w:tcW w:w="97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rFonts w:hint="eastAsia"/>
                      <w:color w:val="auto"/>
                      <w:kern w:val="0"/>
                      <w:lang w:val="en-US" w:eastAsia="zh-CN"/>
                    </w:rPr>
                    <w:t>废气</w:t>
                  </w:r>
                  <w:r>
                    <w:rPr>
                      <w:color w:val="auto"/>
                      <w:kern w:val="0"/>
                    </w:rPr>
                    <w:t>治理</w:t>
                  </w:r>
                </w:p>
              </w:tc>
              <w:tc>
                <w:tcPr>
                  <w:tcW w:w="180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水膜除尘装置</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5</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规范化暂存，全部合理有效处置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2</w:t>
                  </w:r>
                </w:p>
              </w:tc>
              <w:tc>
                <w:tcPr>
                  <w:tcW w:w="97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排污口设置</w:t>
                  </w:r>
                </w:p>
              </w:tc>
              <w:tc>
                <w:tcPr>
                  <w:tcW w:w="18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排污口环保标志牌</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eastAsia="宋体"/>
                      <w:color w:val="auto"/>
                      <w:lang w:eastAsia="zh-CN"/>
                    </w:rPr>
                  </w:pPr>
                  <w:r>
                    <w:rPr>
                      <w:rFonts w:hint="eastAsia"/>
                      <w:color w:val="auto"/>
                      <w:lang w:val="en-US" w:eastAsia="zh-CN"/>
                    </w:rPr>
                    <w:t>3</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规范化设置</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新增环保标志牌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lang w:val="en-US" w:eastAsia="zh-CN"/>
                    </w:rPr>
                  </w:pPr>
                  <w:r>
                    <w:rPr>
                      <w:rFonts w:hint="eastAsia"/>
                      <w:color w:val="auto"/>
                      <w:lang w:val="en-US" w:eastAsia="zh-CN"/>
                    </w:rPr>
                    <w:t>3</w:t>
                  </w:r>
                </w:p>
              </w:tc>
              <w:tc>
                <w:tcPr>
                  <w:tcW w:w="97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风险防范措施</w:t>
                  </w:r>
                </w:p>
              </w:tc>
              <w:tc>
                <w:tcPr>
                  <w:tcW w:w="1803"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购置消防灭火器、设置防火标识牌、加强环保设施保养维修等</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lang w:val="en-US" w:eastAsia="zh-CN"/>
                    </w:rPr>
                  </w:pPr>
                  <w:r>
                    <w:rPr>
                      <w:rFonts w:hint="eastAsia"/>
                      <w:color w:val="auto"/>
                      <w:lang w:val="en-US" w:eastAsia="zh-CN"/>
                    </w:rPr>
                    <w:t>2</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满足风险防范要求</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kern w:val="0"/>
                    </w:rPr>
                  </w:pPr>
                  <w:r>
                    <w:rPr>
                      <w:color w:val="auto"/>
                      <w:kern w:val="0"/>
                    </w:rPr>
                    <w:t>合计</w:t>
                  </w:r>
                </w:p>
              </w:tc>
              <w:tc>
                <w:tcPr>
                  <w:tcW w:w="1262"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10</w:t>
                  </w:r>
                </w:p>
              </w:tc>
              <w:tc>
                <w:tcPr>
                  <w:tcW w:w="2510"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c>
                <w:tcPr>
                  <w:tcW w:w="1115" w:type="dxa"/>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rPr>
                  </w:pPr>
                  <w:r>
                    <w:rPr>
                      <w:color w:val="auto"/>
                    </w:rPr>
                    <w:t>/</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8</w:t>
            </w:r>
            <w:r>
              <w:rPr>
                <w:rFonts w:hint="eastAsia" w:ascii="宋体" w:hAnsi="宋体" w:eastAsia="宋体" w:cs="宋体"/>
                <w:b/>
                <w:color w:val="auto"/>
                <w:sz w:val="24"/>
                <w:lang w:bidi="ar"/>
              </w:rPr>
              <w:t>、员工及劳动制度</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不新增员工</w:t>
            </w:r>
            <w:r>
              <w:rPr>
                <w:rFonts w:hint="eastAsia" w:ascii="Times New Roman" w:hAnsi="Times New Roman" w:eastAsia="宋体" w:cs="Times New Roman"/>
                <w:color w:val="auto"/>
                <w:sz w:val="24"/>
                <w:lang w:bidi="ar"/>
              </w:rPr>
              <w:t>，年工作时间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三</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r>
              <w:rPr>
                <w:rFonts w:hint="eastAsia" w:ascii="宋体" w:hAnsi="宋体" w:eastAsia="宋体" w:cs="宋体"/>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9</w:t>
            </w:r>
            <w:r>
              <w:rPr>
                <w:rFonts w:hint="eastAsia" w:ascii="宋体" w:hAnsi="宋体" w:eastAsia="宋体" w:cs="宋体"/>
                <w:b/>
                <w:color w:val="auto"/>
                <w:sz w:val="24"/>
                <w:lang w:bidi="ar"/>
              </w:rPr>
              <w:t>、产业政策相符性分析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本项目不属于《产业结构调整指导目录（</w:t>
            </w:r>
            <w:r>
              <w:rPr>
                <w:rFonts w:ascii="Times New Roman" w:hAnsi="Times New Roman" w:eastAsia="宋体" w:cs="Times New Roman"/>
                <w:color w:val="auto"/>
                <w:sz w:val="24"/>
                <w:lang w:bidi="ar"/>
              </w:rPr>
              <w:t>2011</w:t>
            </w:r>
            <w:r>
              <w:rPr>
                <w:rFonts w:hint="eastAsia" w:ascii="宋体" w:hAnsi="宋体" w:eastAsia="宋体" w:cs="宋体"/>
                <w:color w:val="auto"/>
                <w:sz w:val="24"/>
                <w:lang w:bidi="ar"/>
              </w:rPr>
              <w:t>年本）（</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年修订）》（中华人民共和国国家发展和改革委员会令第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w:t>
            </w: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月</w:t>
            </w:r>
            <w:r>
              <w:rPr>
                <w:rFonts w:ascii="Times New Roman" w:hAnsi="Times New Roman" w:eastAsia="宋体" w:cs="Times New Roman"/>
                <w:color w:val="auto"/>
                <w:sz w:val="24"/>
                <w:lang w:bidi="ar"/>
              </w:rPr>
              <w:t>25</w:t>
            </w:r>
            <w:r>
              <w:rPr>
                <w:rFonts w:hint="eastAsia" w:ascii="宋体" w:hAnsi="宋体" w:eastAsia="宋体" w:cs="宋体"/>
                <w:color w:val="auto"/>
                <w:sz w:val="24"/>
                <w:lang w:bidi="ar"/>
              </w:rPr>
              <w:t>日）中的限制和淘汰类项目。</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3</w:t>
            </w:r>
            <w:r>
              <w:rPr>
                <w:rFonts w:hint="eastAsia" w:ascii="宋体" w:hAnsi="宋体" w:eastAsia="宋体" w:cs="宋体"/>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eastAsia="zh-CN" w:bidi="ar"/>
              </w:rPr>
              <w:t>）本项目</w:t>
            </w:r>
            <w:r>
              <w:rPr>
                <w:rFonts w:hint="eastAsia" w:ascii="Times New Roman" w:hAnsi="Times New Roman" w:eastAsia="宋体" w:cs="Times New Roman"/>
                <w:color w:val="auto"/>
                <w:sz w:val="24"/>
                <w:lang w:bidi="ar"/>
              </w:rPr>
              <w:t>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29</w:t>
            </w:r>
            <w:r>
              <w:rPr>
                <w:rFonts w:hint="eastAsia" w:ascii="Times New Roman" w:hAnsi="Times New Roman" w:eastAsia="宋体" w:cs="Times New Roman"/>
                <w:color w:val="auto"/>
                <w:sz w:val="24"/>
                <w:lang w:bidi="ar"/>
              </w:rPr>
              <w:t>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（备案号：武行审技备[2019]40号）</w:t>
            </w:r>
            <w:r>
              <w:rPr>
                <w:rFonts w:hint="eastAsia" w:ascii="宋体" w:hAnsi="宋体" w:eastAsia="宋体" w:cs="宋体"/>
                <w:color w:val="auto"/>
                <w:sz w:val="24"/>
                <w:lang w:eastAsia="zh-CN" w:bidi="ar"/>
              </w:rPr>
              <w:t>。</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5</w:t>
            </w:r>
            <w:r>
              <w:rPr>
                <w:rFonts w:hint="eastAsia" w:ascii="宋体" w:hAnsi="宋体" w:eastAsia="宋体" w:cs="宋体"/>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w:t>
            </w:r>
            <w:r>
              <w:rPr>
                <w:rFonts w:hint="eastAsia" w:ascii="宋体" w:hAnsi="宋体" w:eastAsia="宋体" w:cs="宋体"/>
                <w:color w:val="auto"/>
                <w:sz w:val="24"/>
                <w:lang w:val="en-US" w:eastAsia="zh-CN" w:bidi="ar"/>
              </w:rPr>
              <w:t>不产生生产废水</w:t>
            </w:r>
            <w:r>
              <w:rPr>
                <w:rFonts w:hint="eastAsia" w:ascii="宋体" w:hAnsi="宋体" w:eastAsia="宋体" w:cs="宋体"/>
                <w:color w:val="auto"/>
                <w:sz w:val="24"/>
                <w:lang w:eastAsia="zh-CN" w:bidi="ar"/>
              </w:rPr>
              <w:t>，因此本项目符合太湖流域相关文件规定。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①</w:t>
            </w:r>
            <w:r>
              <w:rPr>
                <w:rFonts w:hint="eastAsia" w:ascii="宋体" w:hAnsi="宋体" w:eastAsia="宋体" w:cs="宋体"/>
                <w:color w:val="auto"/>
                <w:sz w:val="24"/>
                <w:lang w:bidi="ar"/>
              </w:rPr>
              <w:t>治理太湖水环境</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年，太湖湖体高锰酸盐指数和氨氮稳定保持在</w:t>
            </w:r>
            <w:r>
              <w:rPr>
                <w:rFonts w:ascii="Times New Roman" w:hAnsi="Times New Roman" w:eastAsia="宋体" w:cs="Times New Roman"/>
                <w:color w:val="auto"/>
                <w:sz w:val="24"/>
                <w:lang w:bidi="ar"/>
              </w:rPr>
              <w:t>II</w:t>
            </w:r>
            <w:r>
              <w:rPr>
                <w:rFonts w:hint="eastAsia" w:ascii="宋体" w:hAnsi="宋体" w:eastAsia="宋体" w:cs="宋体"/>
                <w:color w:val="auto"/>
                <w:sz w:val="24"/>
                <w:lang w:bidi="ar"/>
              </w:rPr>
              <w:t>类，总磷达到</w:t>
            </w:r>
            <w:r>
              <w:rPr>
                <w:rFonts w:ascii="Times New Roman" w:hAnsi="Times New Roman" w:eastAsia="宋体" w:cs="Times New Roman"/>
                <w:color w:val="auto"/>
                <w:sz w:val="24"/>
                <w:lang w:bidi="ar"/>
              </w:rPr>
              <w:t>III</w:t>
            </w:r>
            <w:r>
              <w:rPr>
                <w:rFonts w:hint="eastAsia" w:ascii="宋体" w:hAnsi="宋体" w:eastAsia="宋体" w:cs="宋体"/>
                <w:color w:val="auto"/>
                <w:sz w:val="24"/>
                <w:lang w:bidi="ar"/>
              </w:rPr>
              <w:t>类，总氮达到</w:t>
            </w:r>
            <w:r>
              <w:rPr>
                <w:rFonts w:ascii="Times New Roman" w:hAnsi="Times New Roman" w:eastAsia="宋体" w:cs="Times New Roman"/>
                <w:color w:val="auto"/>
                <w:sz w:val="24"/>
                <w:lang w:bidi="ar"/>
              </w:rPr>
              <w:t>V</w:t>
            </w:r>
            <w:r>
              <w:rPr>
                <w:rFonts w:hint="eastAsia" w:ascii="宋体" w:hAnsi="宋体" w:eastAsia="宋体" w:cs="宋体"/>
                <w:color w:val="auto"/>
                <w:sz w:val="24"/>
                <w:lang w:bidi="ar"/>
              </w:rPr>
              <w:t>类，流域总氮、总磷污染物排放量均比</w:t>
            </w:r>
            <w:r>
              <w:rPr>
                <w:rFonts w:ascii="Times New Roman" w:hAnsi="Times New Roman" w:eastAsia="宋体" w:cs="Times New Roman"/>
                <w:color w:val="auto"/>
                <w:sz w:val="24"/>
                <w:lang w:bidi="ar"/>
              </w:rPr>
              <w:t xml:space="preserve">2015 </w:t>
            </w:r>
            <w:r>
              <w:rPr>
                <w:rFonts w:hint="eastAsia" w:ascii="宋体" w:hAnsi="宋体" w:eastAsia="宋体" w:cs="宋体"/>
                <w:color w:val="auto"/>
                <w:sz w:val="24"/>
                <w:lang w:bidi="ar"/>
              </w:rPr>
              <w:t>年削减</w:t>
            </w:r>
            <w:r>
              <w:rPr>
                <w:rFonts w:ascii="Times New Roman" w:hAnsi="Times New Roman" w:eastAsia="宋体" w:cs="Times New Roman"/>
                <w:color w:val="auto"/>
                <w:sz w:val="24"/>
                <w:lang w:bidi="ar"/>
              </w:rPr>
              <w:t>16%</w:t>
            </w:r>
            <w:r>
              <w:rPr>
                <w:rFonts w:hint="eastAsia" w:ascii="宋体" w:hAnsi="宋体" w:eastAsia="宋体" w:cs="宋体"/>
                <w:color w:val="auto"/>
                <w:sz w:val="24"/>
                <w:lang w:bidi="ar"/>
              </w:rPr>
              <w:t>以上，确保饮用水安全、确保不发生大面积湖泛。</w:t>
            </w:r>
          </w:p>
          <w:p>
            <w:pPr>
              <w:spacing w:line="360" w:lineRule="auto"/>
              <w:ind w:firstLine="480" w:firstLineChars="200"/>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无生产废水产生及排放</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本项目不新增</w:t>
            </w:r>
            <w:r>
              <w:rPr>
                <w:rFonts w:hint="eastAsia" w:ascii="Times New Roman" w:hAnsi="Times New Roman" w:eastAsia="宋体" w:cs="Times New Roman"/>
                <w:color w:val="auto"/>
                <w:sz w:val="24"/>
                <w:lang w:bidi="ar"/>
              </w:rPr>
              <w:t>生活污水</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无VOCs产生</w:t>
            </w: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综上所述，本项目符合国家和地方产业政策。</w:t>
            </w:r>
          </w:p>
          <w:p>
            <w:pPr>
              <w:pStyle w:val="17"/>
              <w:widowControl/>
              <w:spacing w:line="360" w:lineRule="auto"/>
              <w:ind w:firstLine="482" w:firstLineChars="200"/>
              <w:rPr>
                <w:rFonts w:hint="default" w:ascii="Times New Roman" w:hAnsi="Times New Roman" w:cs="Times New Roman"/>
                <w:b/>
                <w:color w:val="auto"/>
              </w:rPr>
            </w:pPr>
            <w:r>
              <w:rPr>
                <w:rFonts w:hint="default" w:ascii="Times New Roman" w:hAnsi="Times New Roman" w:cs="Times New Roman"/>
                <w:b/>
                <w:color w:val="auto"/>
              </w:rPr>
              <w:t>10</w:t>
            </w:r>
            <w:r>
              <w:rPr>
                <w:rFonts w:hAnsi="宋体"/>
                <w:b/>
                <w:color w:val="auto"/>
              </w:rPr>
              <w:t>、选址相符性</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常州市燕青生物质能源有限租用常州市蒋伟木业有限公司厂房1500平米</w:t>
            </w:r>
            <w:r>
              <w:rPr>
                <w:rFonts w:ascii="Times New Roman" w:hAnsi="Times New Roman" w:eastAsia="宋体" w:cs="Times New Roman"/>
                <w:color w:val="auto"/>
                <w:sz w:val="24"/>
              </w:rPr>
              <w:t>进行生产，</w:t>
            </w:r>
            <w:r>
              <w:rPr>
                <w:rFonts w:hint="eastAsia" w:ascii="Times New Roman" w:hAnsi="Times New Roman" w:eastAsia="宋体" w:cs="Times New Roman"/>
                <w:color w:val="auto"/>
                <w:sz w:val="24"/>
              </w:rPr>
              <w:t>常州市蒋伟木业有限公司</w:t>
            </w:r>
            <w:r>
              <w:rPr>
                <w:rFonts w:ascii="Times New Roman" w:hAnsi="Times New Roman" w:eastAsia="宋体" w:cs="Times New Roman"/>
                <w:color w:val="auto"/>
                <w:sz w:val="24"/>
              </w:rPr>
              <w:t>已于</w:t>
            </w:r>
            <w:r>
              <w:rPr>
                <w:rFonts w:hint="eastAsia" w:ascii="Times New Roman" w:hAnsi="Times New Roman" w:eastAsia="宋体" w:cs="Times New Roman"/>
                <w:color w:val="auto"/>
                <w:sz w:val="24"/>
                <w:lang w:val="en-US" w:eastAsia="zh-CN"/>
              </w:rPr>
              <w:t>2002年12月10日</w:t>
            </w:r>
            <w:r>
              <w:rPr>
                <w:rFonts w:ascii="Times New Roman" w:hAnsi="Times New Roman" w:eastAsia="宋体" w:cs="Times New Roman"/>
                <w:color w:val="auto"/>
                <w:sz w:val="24"/>
              </w:rPr>
              <w:t>取得</w:t>
            </w:r>
            <w:r>
              <w:rPr>
                <w:rFonts w:hint="eastAsia" w:ascii="Times New Roman" w:hAnsi="Times New Roman" w:eastAsia="宋体" w:cs="Times New Roman"/>
                <w:color w:val="auto"/>
                <w:sz w:val="24"/>
                <w:lang w:val="en-US" w:eastAsia="zh-CN"/>
              </w:rPr>
              <w:t>集体土地使用证（武集用（2002）字第4611647号）</w:t>
            </w:r>
            <w:r>
              <w:rPr>
                <w:rFonts w:ascii="Times New Roman" w:hAnsi="Times New Roman" w:eastAsia="宋体" w:cs="Times New Roman"/>
                <w:color w:val="auto"/>
                <w:sz w:val="24"/>
              </w:rPr>
              <w:t>，该地块为工业用地（见附件）</w:t>
            </w:r>
            <w:r>
              <w:rPr>
                <w:rFonts w:hint="eastAsia" w:ascii="Times New Roman" w:hAnsi="Times New Roman" w:eastAsia="宋体" w:cs="Times New Roman"/>
                <w:color w:val="auto"/>
                <w:sz w:val="24"/>
                <w:lang w:eastAsia="zh-CN"/>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本项目不属于《限制用地项目目录（2012</w:t>
            </w:r>
            <w:r>
              <w:rPr>
                <w:rFonts w:hint="eastAsia" w:ascii="宋体" w:hAnsi="宋体" w:eastAsia="宋体" w:cs="宋体"/>
                <w:color w:val="auto"/>
                <w:sz w:val="24"/>
                <w:lang w:bidi="ar"/>
              </w:rPr>
              <w:t>年本）》和《禁止用地项目目录（</w:t>
            </w:r>
            <w:r>
              <w:rPr>
                <w:rFonts w:ascii="Times New Roman" w:hAnsi="Times New Roman" w:eastAsia="宋体" w:cs="Times New Roman"/>
                <w:color w:val="auto"/>
                <w:sz w:val="24"/>
                <w:lang w:bidi="ar"/>
              </w:rPr>
              <w:t>2012</w:t>
            </w:r>
            <w:r>
              <w:rPr>
                <w:rFonts w:hint="eastAsia" w:ascii="宋体" w:hAnsi="宋体" w:eastAsia="宋体" w:cs="宋体"/>
                <w:color w:val="auto"/>
                <w:sz w:val="24"/>
                <w:lang w:bidi="ar"/>
              </w:rPr>
              <w:t>年本）》中所规定的类别，不属于《江苏省限制用地项目目录（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年本）》和《江苏省限制用地项目目录（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年本）》中所规定的类别的项目。</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本项目最近距《江苏省生态红线区域保护规划》</w:t>
            </w:r>
            <w:r>
              <w:rPr>
                <w:rFonts w:hint="eastAsia" w:ascii="Times New Roman" w:hAnsi="Times New Roman" w:eastAsia="宋体" w:cs="Times New Roman"/>
                <w:color w:val="auto"/>
                <w:sz w:val="24"/>
                <w:lang w:bidi="ar"/>
              </w:rPr>
              <w:t>和《江苏省国家级生态保护红线》</w:t>
            </w:r>
            <w:r>
              <w:rPr>
                <w:rFonts w:ascii="Times New Roman" w:hAnsi="Times New Roman" w:eastAsia="宋体" w:cs="Times New Roman"/>
                <w:color w:val="auto"/>
                <w:sz w:val="24"/>
                <w:lang w:bidi="ar"/>
              </w:rPr>
              <w:t>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3.75k</w:t>
            </w:r>
            <w:r>
              <w:rPr>
                <w:rFonts w:ascii="Times New Roman" w:hAnsi="Times New Roman" w:eastAsia="宋体" w:cs="Times New Roman"/>
                <w:color w:val="auto"/>
                <w:sz w:val="24"/>
                <w:lang w:bidi="ar"/>
              </w:rPr>
              <w:t>m</w:t>
            </w:r>
            <w:r>
              <w:rPr>
                <w:rFonts w:hint="eastAsia" w:ascii="宋体" w:hAnsi="宋体" w:eastAsia="宋体" w:cs="宋体"/>
                <w:color w:val="auto"/>
                <w:sz w:val="24"/>
                <w:lang w:bidi="ar"/>
              </w:rPr>
              <w:t>，项目不在</w:t>
            </w:r>
            <w:r>
              <w:rPr>
                <w:rFonts w:hint="eastAsia" w:ascii="宋体" w:hAnsi="宋体" w:eastAsia="宋体" w:cs="宋体"/>
                <w:color w:val="auto"/>
                <w:sz w:val="24"/>
                <w:lang w:val="en-US" w:eastAsia="zh-CN" w:bidi="ar"/>
              </w:rPr>
              <w:t>滆湖（武进区）重要湿地二</w:t>
            </w:r>
            <w:r>
              <w:rPr>
                <w:rFonts w:hint="eastAsia" w:ascii="宋体" w:hAnsi="宋体" w:eastAsia="宋体" w:cs="宋体"/>
                <w:color w:val="auto"/>
                <w:sz w:val="24"/>
                <w:lang w:bidi="ar"/>
              </w:rPr>
              <w:t>级管控区内，且不属于湿地生态系统保护二级管控区禁止活动内容。</w:t>
            </w:r>
          </w:p>
          <w:p>
            <w:pPr>
              <w:spacing w:line="360" w:lineRule="auto"/>
              <w:ind w:firstLine="480" w:firstLineChars="200"/>
              <w:rPr>
                <w:rFonts w:hint="eastAsia" w:ascii="Times New Roman" w:hAnsi="Times New Roman" w:eastAsia="宋体" w:cs="Times New Roman"/>
                <w:color w:val="auto"/>
                <w:sz w:val="24"/>
                <w:lang w:eastAsia="zh-CN" w:bidi="ar"/>
              </w:rPr>
            </w:pPr>
            <w:r>
              <w:rPr>
                <w:rFonts w:ascii="Times New Roman" w:hAnsi="Times New Roman" w:eastAsia="宋体" w:cs="Times New Roman"/>
                <w:color w:val="auto"/>
                <w:sz w:val="24"/>
                <w:lang w:bidi="ar"/>
              </w:rPr>
              <w:t>因此，该用地性质符合要求</w:t>
            </w:r>
            <w:r>
              <w:rPr>
                <w:rFonts w:hint="eastAsia" w:ascii="Times New Roman" w:hAnsi="Times New Roman" w:eastAsia="宋体" w:cs="Times New Roman"/>
                <w:color w:val="auto"/>
                <w:sz w:val="24"/>
                <w:lang w:eastAsia="zh-CN" w:bidi="ar"/>
              </w:rPr>
              <w:t>。</w:t>
            </w:r>
          </w:p>
          <w:p>
            <w:pPr>
              <w:spacing w:line="360" w:lineRule="auto"/>
              <w:ind w:firstLine="482" w:firstLineChars="200"/>
              <w:rPr>
                <w:rFonts w:hint="eastAsia" w:ascii="宋体" w:hAnsi="宋体" w:eastAsia="宋体" w:cs="Times New Roman"/>
                <w:b/>
                <w:color w:val="auto"/>
                <w:kern w:val="0"/>
                <w:sz w:val="24"/>
                <w:szCs w:val="24"/>
                <w:lang w:val="en-US" w:eastAsia="zh-CN" w:bidi="ar-SA"/>
              </w:rPr>
            </w:pPr>
            <w:r>
              <w:rPr>
                <w:rFonts w:hint="eastAsia" w:ascii="宋体" w:hAnsi="宋体" w:eastAsia="宋体" w:cs="Times New Roman"/>
                <w:b/>
                <w:color w:val="auto"/>
                <w:kern w:val="0"/>
                <w:sz w:val="24"/>
                <w:szCs w:val="24"/>
                <w:lang w:val="en-US" w:eastAsia="zh-CN" w:bidi="ar-SA"/>
              </w:rPr>
              <w:t>11、</w:t>
            </w:r>
            <w:r>
              <w:rPr>
                <w:rFonts w:hint="default" w:ascii="宋体" w:hAnsi="宋体" w:eastAsia="宋体" w:cs="Times New Roman"/>
                <w:b/>
                <w:color w:val="auto"/>
                <w:kern w:val="0"/>
                <w:sz w:val="24"/>
                <w:szCs w:val="24"/>
                <w:lang w:val="en-US" w:eastAsia="zh-CN" w:bidi="ar-SA"/>
              </w:rPr>
              <w:t>“</w:t>
            </w:r>
            <w:r>
              <w:rPr>
                <w:rFonts w:hint="eastAsia" w:ascii="宋体" w:hAnsi="宋体" w:eastAsia="宋体" w:cs="Times New Roman"/>
                <w:b/>
                <w:color w:val="auto"/>
                <w:kern w:val="0"/>
                <w:sz w:val="24"/>
                <w:szCs w:val="24"/>
                <w:lang w:val="en-US" w:eastAsia="zh-CN" w:bidi="ar-SA"/>
              </w:rPr>
              <w:t>三线一单</w:t>
            </w:r>
            <w:r>
              <w:rPr>
                <w:rFonts w:hint="default" w:ascii="宋体" w:hAnsi="宋体" w:eastAsia="宋体" w:cs="Times New Roman"/>
                <w:b/>
                <w:color w:val="auto"/>
                <w:kern w:val="0"/>
                <w:sz w:val="24"/>
                <w:szCs w:val="24"/>
                <w:lang w:val="en-US" w:eastAsia="zh-CN" w:bidi="ar-SA"/>
              </w:rPr>
              <w:t>”</w:t>
            </w:r>
            <w:r>
              <w:rPr>
                <w:rFonts w:hint="eastAsia" w:ascii="宋体" w:hAnsi="宋体" w:eastAsia="宋体" w:cs="Times New Roman"/>
                <w:b/>
                <w:color w:val="auto"/>
                <w:kern w:val="0"/>
                <w:sz w:val="24"/>
                <w:szCs w:val="24"/>
                <w:lang w:val="en-US" w:eastAsia="zh-CN" w:bidi="ar-SA"/>
              </w:rPr>
              <w:t>符合性判定</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根据《关于以改善环境质量为核心加强环境影响评价管理的通知》（环环评[2016]150号文），本项目与“三线一单”相符性分析主要体现在以下四个方面：</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①生态红线</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根据《省政府关于印发江苏省国家级生态保护红线规划的通知》（苏政发〔2018〕74号）、《省政府关于印发江苏省生态红线区域保护规划的通知》（苏政发[2013]113号），对照常州市生态红线区域名录，本项目距离</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3.75k</w:t>
            </w:r>
            <w:r>
              <w:rPr>
                <w:rFonts w:ascii="Times New Roman" w:hAnsi="Times New Roman" w:eastAsia="宋体" w:cs="Times New Roman"/>
                <w:color w:val="auto"/>
                <w:sz w:val="24"/>
                <w:lang w:bidi="ar"/>
              </w:rPr>
              <w:t>m</w:t>
            </w:r>
            <w:r>
              <w:rPr>
                <w:rFonts w:hint="eastAsia" w:ascii="Times New Roman" w:hAnsi="Times New Roman" w:eastAsia="宋体" w:cs="Times New Roman"/>
                <w:color w:val="auto"/>
                <w:sz w:val="24"/>
                <w:lang w:val="en-US" w:eastAsia="zh-CN" w:bidi="ar"/>
              </w:rPr>
              <w:t>，不在江苏省常州市生态红线管控区区域范围内。</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②环境质量底线</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根据《常州市2017年环境质量公报》，常州市2017年环境空气质量不达标，为非达标区，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69.7%以上，PM</w:t>
            </w:r>
            <w:r>
              <w:rPr>
                <w:rFonts w:hint="eastAsia" w:ascii="Times New Roman" w:hAnsi="Times New Roman" w:eastAsia="宋体" w:cs="Times New Roman"/>
                <w:color w:val="auto"/>
                <w:sz w:val="24"/>
                <w:vertAlign w:val="subscript"/>
                <w:lang w:val="en-US" w:eastAsia="zh-CN" w:bidi="ar"/>
              </w:rPr>
              <w:t>2.5</w:t>
            </w:r>
            <w:r>
              <w:rPr>
                <w:rFonts w:hint="eastAsia" w:ascii="Times New Roman" w:hAnsi="Times New Roman" w:eastAsia="宋体" w:cs="Times New Roman"/>
                <w:color w:val="auto"/>
                <w:sz w:val="24"/>
                <w:lang w:val="en-US" w:eastAsia="zh-CN" w:bidi="ar"/>
              </w:rPr>
              <w:t>年均浓度控制在47微克/立方米以下。本项目所在区域范围内环境空气中SO</w:t>
            </w:r>
            <w:r>
              <w:rPr>
                <w:rFonts w:hint="eastAsia" w:ascii="Times New Roman" w:hAnsi="Times New Roman" w:eastAsia="宋体" w:cs="Times New Roman"/>
                <w:color w:val="auto"/>
                <w:sz w:val="24"/>
                <w:vertAlign w:val="subscript"/>
                <w:lang w:val="en-US" w:eastAsia="zh-CN" w:bidi="ar"/>
              </w:rPr>
              <w:t>2</w:t>
            </w:r>
            <w:r>
              <w:rPr>
                <w:rFonts w:hint="eastAsia" w:ascii="Times New Roman" w:hAnsi="Times New Roman" w:eastAsia="宋体" w:cs="Times New Roman"/>
                <w:color w:val="auto"/>
                <w:sz w:val="24"/>
                <w:lang w:val="en-US" w:eastAsia="zh-CN" w:bidi="ar"/>
              </w:rPr>
              <w:t>、 NO</w:t>
            </w:r>
            <w:r>
              <w:rPr>
                <w:rFonts w:hint="eastAsia" w:ascii="Times New Roman" w:hAnsi="Times New Roman" w:eastAsia="宋体" w:cs="Times New Roman"/>
                <w:color w:val="auto"/>
                <w:sz w:val="24"/>
                <w:vertAlign w:val="subscript"/>
                <w:lang w:val="en-US" w:eastAsia="zh-CN" w:bidi="ar"/>
              </w:rPr>
              <w:t>2</w:t>
            </w:r>
            <w:r>
              <w:rPr>
                <w:rFonts w:hint="eastAsia" w:ascii="Times New Roman" w:hAnsi="Times New Roman" w:eastAsia="宋体" w:cs="Times New Roman"/>
                <w:color w:val="auto"/>
                <w:sz w:val="24"/>
                <w:lang w:val="en-US" w:eastAsia="zh-CN" w:bidi="ar"/>
              </w:rPr>
              <w:t>小时浓度及PM</w:t>
            </w:r>
            <w:r>
              <w:rPr>
                <w:rFonts w:hint="eastAsia" w:ascii="Times New Roman" w:hAnsi="Times New Roman" w:eastAsia="宋体" w:cs="Times New Roman"/>
                <w:color w:val="auto"/>
                <w:sz w:val="24"/>
                <w:vertAlign w:val="subscript"/>
                <w:lang w:val="en-US" w:eastAsia="zh-CN" w:bidi="ar"/>
              </w:rPr>
              <w:t>10</w:t>
            </w:r>
            <w:r>
              <w:rPr>
                <w:rFonts w:hint="eastAsia" w:ascii="Times New Roman" w:hAnsi="Times New Roman" w:eastAsia="宋体" w:cs="Times New Roman"/>
                <w:color w:val="auto"/>
                <w:sz w:val="24"/>
                <w:lang w:val="en-US" w:eastAsia="zh-CN" w:bidi="ar"/>
              </w:rPr>
              <w:t>日均浓度符合《环境空气质量标准》（GB3095-2012）表1中二级标准。</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采菱港监测断面的pH、COD、BOD、SS、氨氮、TP、TN、石油类均能达到《地表水环境质量标准》中Ⅳ类地表水标准限值。</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本项目各厂界昼间噪声均能达到《声环境质量标准》(GB3096-2008)2类标准。</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无生产废水产生及排放；本项目不新增生活污水；本项目生物质燃料燃烧粉尘经水膜除尘处理后经20m高的排气筒排放；一般固废外售综合利用，生活垃圾由环卫部门收集处理。采取以上污染防治措施后，各类污染物能实现稳定达标排放，不会对周边环境造成不良影响，不改变区域环境功能区质量要求，能维持环境功能区质量现状。</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③资源利用上线</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本项目营运过程中消耗一定量的电、水、天然气等资源，项目资源消耗量相对区域资源利用总量较少，符合资源利用上限要求。</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④环境准入负面清单</w:t>
            </w:r>
          </w:p>
          <w:p>
            <w:pPr>
              <w:spacing w:line="360" w:lineRule="auto"/>
              <w:ind w:firstLine="480" w:firstLineChars="200"/>
              <w:rPr>
                <w:rFonts w:hint="default" w:hAnsi="宋体"/>
                <w:b/>
                <w:color w:val="auto"/>
              </w:rPr>
            </w:pPr>
            <w:r>
              <w:rPr>
                <w:rFonts w:hint="eastAsia" w:ascii="Times New Roman" w:hAnsi="Times New Roman" w:eastAsia="宋体" w:cs="Times New Roman"/>
                <w:color w:val="auto"/>
                <w:sz w:val="24"/>
                <w:lang w:val="en-US" w:eastAsia="zh-CN" w:bidi="ar"/>
              </w:rPr>
              <w:t>本项目不属于《产业结构调整指导目录（2011年本）》（2016年修订）中限制和淘汰类项目；不属于《江苏省工业和信息产业结构调整指导目录（2012年本）》（苏政办发[2013]9号）及关于修改《江苏省工业和信息产业结构调整指导目录（2012年本）》中限制和淘汰类项目。本项目不属于《限制用地项目目录（2012年本）》和《禁止用地项目目录（2012年本）》中所规定的类别，不属于《江苏省限制用地项目目录（2013年本）》和《江苏省限制用地项目目录（2013年本）》中所规定的类别的项目。本项目不属于《江苏省太湖水污染防治条例》、《太湖流域管理条例》禁止建设项目。因此，本项目不在该功能区的负面清单内。</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Times New Roman" w:hAnsi="Times New Roman" w:eastAsia="宋体" w:cs="Times New Roman"/>
                <w:b/>
                <w:color w:val="auto"/>
                <w:sz w:val="24"/>
                <w:lang w:val="en-US" w:eastAsia="zh-CN" w:bidi="ar"/>
              </w:rPr>
              <w:t>2</w:t>
            </w:r>
            <w:r>
              <w:rPr>
                <w:rFonts w:hint="eastAsia" w:ascii="宋体" w:hAnsi="宋体" w:eastAsia="宋体" w:cs="宋体"/>
                <w:b/>
                <w:color w:val="auto"/>
                <w:sz w:val="24"/>
                <w:lang w:bidi="ar"/>
              </w:rPr>
              <w:t>、建设周期</w:t>
            </w:r>
          </w:p>
          <w:p>
            <w:pPr>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201</w:t>
            </w:r>
            <w:r>
              <w:rPr>
                <w:rFonts w:hint="eastAsia" w:ascii="Times New Roman" w:hAnsi="Times New Roman" w:eastAsia="宋体" w:cs="Times New Roman"/>
                <w:color w:val="auto"/>
                <w:sz w:val="24"/>
                <w:lang w:val="en-US" w:eastAsia="zh-CN" w:bidi="ar"/>
              </w:rPr>
              <w:t>9</w:t>
            </w:r>
            <w:r>
              <w:rPr>
                <w:rFonts w:hint="eastAsia" w:ascii="宋体" w:hAnsi="宋体" w:eastAsia="宋体" w:cs="宋体"/>
                <w:color w:val="auto"/>
                <w:sz w:val="24"/>
                <w:lang w:bidi="ar"/>
              </w:rPr>
              <w:t>年</w:t>
            </w:r>
            <w:r>
              <w:rPr>
                <w:rFonts w:hint="eastAsia" w:ascii="Times New Roman" w:hAnsi="Times New Roman" w:eastAsia="宋体" w:cs="Times New Roman"/>
                <w:color w:val="auto"/>
                <w:sz w:val="24"/>
                <w:lang w:val="en-US" w:eastAsia="zh-CN" w:bidi="ar"/>
              </w:rPr>
              <w:t>7</w:t>
            </w:r>
            <w:r>
              <w:rPr>
                <w:rFonts w:ascii="Times New Roman" w:hAnsi="Times New Roman" w:eastAsia="宋体" w:cs="Times New Roman"/>
                <w:color w:val="auto"/>
                <w:sz w:val="24"/>
                <w:lang w:bidi="ar"/>
              </w:rPr>
              <w:t>月--201</w:t>
            </w:r>
            <w:r>
              <w:rPr>
                <w:rFonts w:hint="eastAsia" w:ascii="Times New Roman" w:hAnsi="Times New Roman" w:eastAsia="宋体" w:cs="Times New Roman"/>
                <w:color w:val="auto"/>
                <w:sz w:val="24"/>
                <w:lang w:bidi="ar"/>
              </w:rPr>
              <w:t>9</w:t>
            </w:r>
            <w:r>
              <w:rPr>
                <w:rFonts w:ascii="Times New Roman" w:hAnsi="Times New Roman" w:eastAsia="宋体" w:cs="Times New Roman"/>
                <w:color w:val="auto"/>
                <w:sz w:val="24"/>
                <w:lang w:bidi="ar"/>
              </w:rPr>
              <w:t>年</w:t>
            </w:r>
            <w:r>
              <w:rPr>
                <w:rFonts w:hint="eastAsia" w:ascii="Times New Roman" w:hAnsi="Times New Roman" w:eastAsia="宋体" w:cs="Times New Roman"/>
                <w:color w:val="auto"/>
                <w:sz w:val="24"/>
                <w:lang w:val="en-US" w:eastAsia="zh-CN" w:bidi="ar"/>
              </w:rPr>
              <w:t>10</w:t>
            </w:r>
            <w:r>
              <w:rPr>
                <w:rFonts w:ascii="Times New Roman" w:hAnsi="Times New Roman" w:eastAsia="宋体" w:cs="Times New Roman"/>
                <w:color w:val="auto"/>
                <w:sz w:val="24"/>
                <w:lang w:bidi="ar"/>
              </w:rPr>
              <w:t>月</w:t>
            </w:r>
          </w:p>
          <w:p>
            <w:pPr>
              <w:numPr>
                <w:ilvl w:val="0"/>
                <w:numId w:val="0"/>
              </w:numPr>
              <w:spacing w:line="360" w:lineRule="auto"/>
              <w:ind w:leftChars="200"/>
              <w:rPr>
                <w:rFonts w:hint="eastAsia" w:ascii="Times New Roman" w:hAnsi="Times New Roman" w:eastAsia="宋体" w:cs="Times New Roman"/>
                <w:b/>
                <w:bCs/>
                <w:color w:val="auto"/>
                <w:sz w:val="24"/>
                <w:lang w:val="en-US" w:eastAsia="zh-CN" w:bidi="ar"/>
              </w:rPr>
            </w:pPr>
            <w:r>
              <w:rPr>
                <w:rFonts w:hint="eastAsia" w:ascii="Times New Roman" w:hAnsi="Times New Roman" w:eastAsia="宋体" w:cs="Times New Roman"/>
                <w:b/>
                <w:bCs/>
                <w:color w:val="auto"/>
                <w:sz w:val="24"/>
                <w:lang w:val="en-US" w:eastAsia="zh-CN" w:bidi="ar"/>
              </w:rPr>
              <w:t>13、初筛结论</w:t>
            </w:r>
          </w:p>
          <w:p>
            <w:pPr>
              <w:numPr>
                <w:ilvl w:val="0"/>
                <w:numId w:val="0"/>
              </w:num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val="en-US" w:eastAsia="zh-CN" w:bidi="ar"/>
              </w:rPr>
              <w:t>本项目符合产业政策、符合相关规划要求，</w:t>
            </w:r>
            <w:r>
              <w:rPr>
                <w:rFonts w:hint="eastAsia" w:ascii="Times New Roman" w:hAnsi="Times New Roman" w:eastAsia="宋体" w:cs="Times New Roman"/>
                <w:color w:val="auto"/>
                <w:sz w:val="24"/>
                <w:lang w:val="en-US" w:eastAsia="zh-CN" w:bidi="ar"/>
              </w:rPr>
              <w:t>本项目无生产废水产生及排放；本项目不新增生活污水</w:t>
            </w:r>
            <w:r>
              <w:rPr>
                <w:rFonts w:hint="default" w:ascii="Times New Roman" w:hAnsi="Times New Roman" w:eastAsia="宋体" w:cs="Times New Roman"/>
                <w:color w:val="auto"/>
                <w:sz w:val="24"/>
                <w:lang w:val="en-US" w:eastAsia="zh-CN" w:bidi="ar"/>
              </w:rPr>
              <w:t>；本项目生物质燃料燃烧粉尘经水膜除尘处理后经</w:t>
            </w:r>
            <w:r>
              <w:rPr>
                <w:rFonts w:hint="eastAsia" w:ascii="Times New Roman" w:hAnsi="Times New Roman" w:eastAsia="宋体" w:cs="Times New Roman"/>
                <w:color w:val="auto"/>
                <w:sz w:val="24"/>
                <w:lang w:val="en-US" w:eastAsia="zh-CN" w:bidi="ar"/>
              </w:rPr>
              <w:t>20m</w:t>
            </w:r>
            <w:r>
              <w:rPr>
                <w:rFonts w:hint="default" w:ascii="Times New Roman" w:hAnsi="Times New Roman" w:eastAsia="宋体" w:cs="Times New Roman"/>
                <w:color w:val="auto"/>
                <w:sz w:val="24"/>
                <w:lang w:val="en-US" w:eastAsia="zh-CN" w:bidi="ar"/>
              </w:rPr>
              <w:t>高的排气筒排放；产生的噪声采取相应环保措施后可达标排放，经预测对周围居民影响较小</w:t>
            </w:r>
            <w:r>
              <w:rPr>
                <w:rFonts w:hint="eastAsia" w:ascii="Times New Roman" w:hAnsi="Times New Roman" w:eastAsia="宋体" w:cs="Times New Roman"/>
                <w:color w:val="auto"/>
                <w:sz w:val="24"/>
                <w:lang w:val="en-US" w:eastAsia="zh-CN" w:bidi="ar"/>
              </w:rPr>
              <w:t>；一般固废外售综合利用，生活垃圾由环卫部门收集处理；</w:t>
            </w:r>
            <w:r>
              <w:rPr>
                <w:rFonts w:hint="default" w:ascii="Times New Roman" w:hAnsi="Times New Roman" w:eastAsia="宋体" w:cs="Times New Roman"/>
                <w:color w:val="auto"/>
                <w:sz w:val="24"/>
                <w:lang w:val="en-US" w:eastAsia="zh-CN" w:bidi="ar"/>
              </w:rPr>
              <w:t>本项目建设具有环境可行性</w:t>
            </w:r>
            <w:r>
              <w:rPr>
                <w:rFonts w:hint="eastAsia" w:ascii="Times New Roman" w:hAnsi="Times New Roman" w:eastAsia="宋体" w:cs="Times New Roman"/>
                <w:color w:val="auto"/>
                <w:sz w:val="24"/>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4" w:hRule="atLeast"/>
          <w:jc w:val="center"/>
        </w:trPr>
        <w:tc>
          <w:tcPr>
            <w:tcW w:w="8743" w:type="dxa"/>
            <w:gridSpan w:val="8"/>
            <w:tcBorders>
              <w:top w:val="single" w:color="auto" w:sz="6" w:space="0"/>
              <w:left w:val="single" w:color="auto" w:sz="12" w:space="0"/>
              <w:bottom w:val="single" w:color="auto" w:sz="12" w:space="0"/>
              <w:right w:val="single" w:color="auto" w:sz="12" w:space="0"/>
            </w:tcBorders>
            <w:shd w:val="clear" w:color="auto" w:fill="auto"/>
            <w:vAlign w:val="center"/>
          </w:tcPr>
          <w:p>
            <w:pPr>
              <w:spacing w:line="360" w:lineRule="auto"/>
              <w:jc w:val="left"/>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与本项目有关的原有污染情况及主要环境问题</w:t>
            </w:r>
          </w:p>
          <w:p>
            <w:pPr>
              <w:spacing w:line="360" w:lineRule="auto"/>
              <w:rPr>
                <w:rFonts w:ascii="Times New Roman" w:hAnsi="Times New Roman" w:cs="Times New Roman"/>
                <w:b/>
                <w:sz w:val="24"/>
                <w:szCs w:val="24"/>
              </w:rPr>
            </w:pPr>
            <w:r>
              <w:rPr>
                <w:rFonts w:ascii="Times New Roman" w:hAnsi="Times New Roman" w:cs="Times New Roman"/>
                <w:b/>
                <w:sz w:val="24"/>
                <w:szCs w:val="24"/>
              </w:rPr>
              <w:t>1、现有项目概况及环保手续</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常州市燕青生物质能源有限公司位于常州市武进区嘉泽镇满墩，成立于2008年8月29日，经营范围：木屑生物质颗粒燃料加工。常州市燕青生物质能源有限公司“2万吨/年木屑生物质颗粒燃料加工项目”已于2013年11月25日取得常州市武进区环保局环评批复，投产后未申请验收，于2016年9月编制《纳入环境保护登记管理建设项目自查评估报告》，符合“登记一批”要求。</w:t>
            </w:r>
          </w:p>
          <w:p>
            <w:pPr>
              <w:spacing w:line="360" w:lineRule="auto"/>
              <w:rPr>
                <w:rFonts w:ascii="Times New Roman" w:hAnsi="Times New Roman" w:cs="Times New Roman"/>
                <w:b/>
                <w:sz w:val="24"/>
                <w:szCs w:val="24"/>
              </w:rPr>
            </w:pPr>
            <w:r>
              <w:rPr>
                <w:rFonts w:ascii="Times New Roman" w:hAnsi="Times New Roman" w:cs="Times New Roman"/>
                <w:b/>
                <w:sz w:val="24"/>
                <w:szCs w:val="24"/>
              </w:rPr>
              <w:t>2、现有项目产品方案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现有项目产品方案及环保手续执行情况见表1-7。</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表1-7现有项目产品方案及环保手续执行情况</w:t>
            </w:r>
          </w:p>
          <w:tbl>
            <w:tblPr>
              <w:tblStyle w:val="15"/>
              <w:tblW w:w="8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1"/>
              <w:gridCol w:w="1598"/>
              <w:gridCol w:w="1596"/>
              <w:gridCol w:w="1597"/>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trPr>
              <w:tc>
                <w:tcPr>
                  <w:tcW w:w="2141" w:type="dxa"/>
                  <w:shd w:val="clear" w:color="auto" w:fill="auto"/>
                  <w:vAlign w:val="center"/>
                </w:tcPr>
                <w:p>
                  <w:pPr>
                    <w:widowControl/>
                    <w:jc w:val="center"/>
                    <w:rPr>
                      <w:rFonts w:ascii="Times New Roman" w:hAnsi="Times New Roman" w:cs="Times New Roman"/>
                      <w:b/>
                      <w:bCs/>
                      <w:kern w:val="0"/>
                    </w:rPr>
                  </w:pPr>
                  <w:r>
                    <w:rPr>
                      <w:rFonts w:ascii="Times New Roman" w:hAnsi="Times New Roman" w:cs="Times New Roman"/>
                      <w:b/>
                      <w:bCs/>
                      <w:kern w:val="0"/>
                    </w:rPr>
                    <w:t>产品名称</w:t>
                  </w:r>
                </w:p>
              </w:tc>
              <w:tc>
                <w:tcPr>
                  <w:tcW w:w="1598" w:type="dxa"/>
                  <w:shd w:val="clear" w:color="auto" w:fill="auto"/>
                  <w:vAlign w:val="center"/>
                </w:tcPr>
                <w:p>
                  <w:pPr>
                    <w:widowControl/>
                    <w:jc w:val="center"/>
                    <w:rPr>
                      <w:rFonts w:ascii="Times New Roman" w:hAnsi="Times New Roman" w:cs="Times New Roman"/>
                      <w:b/>
                      <w:bCs/>
                      <w:kern w:val="0"/>
                    </w:rPr>
                  </w:pPr>
                  <w:r>
                    <w:rPr>
                      <w:rFonts w:ascii="Times New Roman" w:hAnsi="Times New Roman" w:cs="Times New Roman"/>
                      <w:b/>
                      <w:bCs/>
                      <w:kern w:val="0"/>
                    </w:rPr>
                    <w:t>批复产能</w:t>
                  </w:r>
                </w:p>
              </w:tc>
              <w:tc>
                <w:tcPr>
                  <w:tcW w:w="1596" w:type="dxa"/>
                  <w:shd w:val="clear" w:color="auto" w:fill="auto"/>
                  <w:vAlign w:val="center"/>
                </w:tcPr>
                <w:p>
                  <w:pPr>
                    <w:widowControl/>
                    <w:jc w:val="center"/>
                    <w:rPr>
                      <w:rFonts w:ascii="Times New Roman" w:hAnsi="Times New Roman" w:cs="Times New Roman"/>
                      <w:b/>
                      <w:bCs/>
                      <w:kern w:val="0"/>
                    </w:rPr>
                  </w:pPr>
                  <w:r>
                    <w:rPr>
                      <w:rFonts w:ascii="Times New Roman" w:hAnsi="Times New Roman" w:cs="Times New Roman"/>
                      <w:b/>
                      <w:bCs/>
                      <w:kern w:val="0"/>
                    </w:rPr>
                    <w:t>实际产能</w:t>
                  </w:r>
                </w:p>
              </w:tc>
              <w:tc>
                <w:tcPr>
                  <w:tcW w:w="1597" w:type="dxa"/>
                  <w:shd w:val="clear" w:color="auto" w:fill="auto"/>
                  <w:vAlign w:val="center"/>
                </w:tcPr>
                <w:p>
                  <w:pPr>
                    <w:spacing w:line="360" w:lineRule="auto"/>
                    <w:jc w:val="center"/>
                    <w:rPr>
                      <w:rFonts w:ascii="Times New Roman" w:hAnsi="Times New Roman" w:cs="Times New Roman"/>
                      <w:b/>
                      <w:bCs/>
                      <w:kern w:val="0"/>
                    </w:rPr>
                  </w:pPr>
                  <w:r>
                    <w:rPr>
                      <w:rFonts w:ascii="Times New Roman" w:hAnsi="Times New Roman" w:cs="Times New Roman"/>
                      <w:b/>
                      <w:bCs/>
                      <w:szCs w:val="21"/>
                    </w:rPr>
                    <w:t>环评批复及时间</w:t>
                  </w:r>
                </w:p>
              </w:tc>
              <w:tc>
                <w:tcPr>
                  <w:tcW w:w="1585" w:type="dxa"/>
                  <w:shd w:val="clear" w:color="auto" w:fill="auto"/>
                  <w:vAlign w:val="center"/>
                </w:tcPr>
                <w:p>
                  <w:pPr>
                    <w:spacing w:line="360" w:lineRule="auto"/>
                    <w:jc w:val="center"/>
                    <w:rPr>
                      <w:rFonts w:ascii="Times New Roman" w:hAnsi="Times New Roman" w:cs="Times New Roman"/>
                      <w:b/>
                      <w:bCs/>
                      <w:kern w:val="0"/>
                    </w:rPr>
                  </w:pPr>
                  <w:r>
                    <w:rPr>
                      <w:rFonts w:ascii="Times New Roman" w:hAnsi="Times New Roman" w:cs="Times New Roman"/>
                      <w:b/>
                      <w:bCs/>
                      <w:szCs w:val="21"/>
                    </w:rPr>
                    <w:t>验收批复及时间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41" w:type="dxa"/>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cs="Times New Roman"/>
                      <w:kern w:val="0"/>
                    </w:rPr>
                  </w:pPr>
                  <w:r>
                    <w:rPr>
                      <w:rFonts w:hint="eastAsia"/>
                      <w:color w:val="auto"/>
                      <w:lang w:val="en-US" w:eastAsia="zh-CN"/>
                    </w:rPr>
                    <w:t>木屑生物质颗粒燃料加工</w:t>
                  </w:r>
                </w:p>
              </w:tc>
              <w:tc>
                <w:tcPr>
                  <w:tcW w:w="1598" w:type="dxa"/>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cs="Times New Roman"/>
                      <w:kern w:val="0"/>
                    </w:rPr>
                  </w:pPr>
                  <w:r>
                    <w:rPr>
                      <w:rFonts w:hint="eastAsia"/>
                      <w:color w:val="auto"/>
                      <w:lang w:val="en-US" w:eastAsia="zh-CN"/>
                    </w:rPr>
                    <w:t>2万吨/a</w:t>
                  </w:r>
                </w:p>
              </w:tc>
              <w:tc>
                <w:tcPr>
                  <w:tcW w:w="1596" w:type="dxa"/>
                  <w:shd w:val="clear" w:color="auto" w:fill="auto"/>
                  <w:vAlign w:val="center"/>
                </w:tcPr>
                <w:p>
                  <w:pPr>
                    <w:pStyle w:val="23"/>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cs="Times New Roman"/>
                      <w:kern w:val="0"/>
                    </w:rPr>
                  </w:pPr>
                  <w:r>
                    <w:rPr>
                      <w:rFonts w:hint="eastAsia"/>
                      <w:color w:val="auto"/>
                      <w:lang w:val="en-US" w:eastAsia="zh-CN"/>
                    </w:rPr>
                    <w:t>2万吨/a</w:t>
                  </w:r>
                </w:p>
              </w:tc>
              <w:tc>
                <w:tcPr>
                  <w:tcW w:w="1597" w:type="dxa"/>
                  <w:shd w:val="clear" w:color="auto" w:fill="auto"/>
                  <w:vAlign w:val="center"/>
                </w:tcPr>
                <w:p>
                  <w:pPr>
                    <w:widowControl/>
                    <w:jc w:val="center"/>
                    <w:rPr>
                      <w:rFonts w:ascii="Times New Roman" w:hAnsi="Times New Roman" w:cs="Times New Roman"/>
                      <w:kern w:val="0"/>
                    </w:rPr>
                  </w:pPr>
                  <w:r>
                    <w:rPr>
                      <w:rFonts w:hint="eastAsia" w:ascii="Times New Roman" w:hAnsi="Times New Roman" w:cs="Times New Roman"/>
                      <w:kern w:val="0"/>
                      <w:lang w:val="en-US" w:eastAsia="zh-CN"/>
                    </w:rPr>
                    <w:t>2013年11月25日</w:t>
                  </w:r>
                </w:p>
              </w:tc>
              <w:tc>
                <w:tcPr>
                  <w:tcW w:w="1585" w:type="dxa"/>
                  <w:shd w:val="clear" w:color="auto" w:fill="auto"/>
                  <w:vAlign w:val="center"/>
                </w:tcPr>
                <w:p>
                  <w:pPr>
                    <w:widowControl/>
                    <w:jc w:val="center"/>
                    <w:rPr>
                      <w:rFonts w:hint="eastAsia" w:ascii="Times New Roman" w:hAnsi="Times New Roman" w:cs="Times New Roman" w:eastAsiaTheme="minorEastAsia"/>
                      <w:kern w:val="0"/>
                      <w:lang w:eastAsia="zh-CN"/>
                    </w:rPr>
                  </w:pPr>
                  <w:r>
                    <w:rPr>
                      <w:rFonts w:hint="eastAsia" w:ascii="Times New Roman" w:hAnsi="Times New Roman" w:cs="Times New Roman"/>
                      <w:kern w:val="0"/>
                      <w:lang w:val="en-US" w:eastAsia="zh-CN"/>
                    </w:rPr>
                    <w:t>/</w:t>
                  </w:r>
                </w:p>
              </w:tc>
            </w:tr>
          </w:tbl>
          <w:p>
            <w:pPr>
              <w:spacing w:line="360" w:lineRule="auto"/>
              <w:ind w:firstLine="480" w:firstLineChars="200"/>
              <w:rPr>
                <w:rFonts w:ascii="Times New Roman" w:hAnsi="Times New Roman" w:cs="Times New Roman"/>
                <w:b/>
                <w:sz w:val="24"/>
                <w:szCs w:val="24"/>
              </w:rPr>
            </w:pPr>
            <w:r>
              <w:rPr>
                <w:rFonts w:ascii="Times New Roman" w:hAnsi="Times New Roman" w:cs="Times New Roman"/>
                <w:sz w:val="24"/>
                <w:szCs w:val="24"/>
              </w:rPr>
              <w:t>企业于2016年编制了</w:t>
            </w:r>
            <w:r>
              <w:rPr>
                <w:rFonts w:hint="eastAsia" w:ascii="Times New Roman" w:hAnsi="Times New Roman" w:eastAsia="宋体" w:cs="Times New Roman"/>
                <w:color w:val="auto"/>
                <w:sz w:val="24"/>
                <w:lang w:val="en-US" w:eastAsia="zh-CN" w:bidi="ar"/>
              </w:rPr>
              <w:t>《纳入环境保护登记管理建设项目自查评估报告》</w:t>
            </w:r>
            <w:r>
              <w:rPr>
                <w:rFonts w:ascii="Times New Roman" w:hAnsi="Times New Roman" w:cs="Times New Roman"/>
                <w:sz w:val="24"/>
                <w:szCs w:val="24"/>
              </w:rPr>
              <w:t>，以上产品已编制入内。</w:t>
            </w:r>
          </w:p>
          <w:p>
            <w:pPr>
              <w:spacing w:line="360" w:lineRule="auto"/>
              <w:rPr>
                <w:rFonts w:ascii="Times New Roman" w:hAnsi="Times New Roman" w:cs="Times New Roman"/>
                <w:b/>
                <w:sz w:val="24"/>
                <w:szCs w:val="24"/>
              </w:rPr>
            </w:pPr>
            <w:r>
              <w:rPr>
                <w:rFonts w:ascii="Times New Roman" w:hAnsi="Times New Roman" w:cs="Times New Roman"/>
                <w:b/>
                <w:sz w:val="24"/>
                <w:szCs w:val="24"/>
              </w:rPr>
              <w:t>3、现有项目生产工艺流程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现有项目工艺流程见图1-</w:t>
            </w:r>
            <w:r>
              <w:rPr>
                <w:rFonts w:hint="eastAsia" w:ascii="Times New Roman" w:hAnsi="Times New Roman" w:cs="Times New Roman"/>
                <w:sz w:val="24"/>
                <w:szCs w:val="24"/>
                <w:lang w:val="en-US" w:eastAsia="zh-CN"/>
              </w:rPr>
              <w:t>1</w:t>
            </w:r>
            <w:r>
              <w:rPr>
                <w:rFonts w:ascii="Times New Roman" w:hAnsi="Times New Roman" w:cs="Times New Roman"/>
                <w:sz w:val="24"/>
                <w:szCs w:val="24"/>
              </w:rPr>
              <w:t>。</w:t>
            </w:r>
          </w:p>
          <w:p>
            <w:pPr>
              <w:spacing w:line="360" w:lineRule="auto"/>
              <w:jc w:val="center"/>
              <w:rPr>
                <w:rFonts w:ascii="Times New Roman" w:hAnsi="Times New Roman" w:cs="Times New Roman"/>
                <w:sz w:val="24"/>
                <w:szCs w:val="24"/>
              </w:rPr>
            </w:pPr>
            <w:r>
              <w:drawing>
                <wp:inline distT="0" distB="0" distL="114300" distR="114300">
                  <wp:extent cx="3903345" cy="5339080"/>
                  <wp:effectExtent l="0" t="0" r="1905" b="1397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5"/>
                          <a:stretch>
                            <a:fillRect/>
                          </a:stretch>
                        </pic:blipFill>
                        <pic:spPr>
                          <a:xfrm>
                            <a:off x="0" y="0"/>
                            <a:ext cx="3903345" cy="5339080"/>
                          </a:xfrm>
                          <a:prstGeom prst="rect">
                            <a:avLst/>
                          </a:prstGeom>
                          <a:noFill/>
                          <a:ln>
                            <a:noFill/>
                          </a:ln>
                        </pic:spPr>
                      </pic:pic>
                    </a:graphicData>
                  </a:graphic>
                </wp:inline>
              </w:drawing>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图1-</w:t>
            </w:r>
            <w:r>
              <w:rPr>
                <w:rFonts w:hint="eastAsia" w:ascii="Times New Roman" w:hAnsi="Times New Roman" w:cs="Times New Roman"/>
                <w:sz w:val="24"/>
                <w:szCs w:val="24"/>
                <w:lang w:val="en-US" w:eastAsia="zh-CN"/>
              </w:rPr>
              <w:t>1</w:t>
            </w:r>
            <w:r>
              <w:rPr>
                <w:rFonts w:ascii="Times New Roman" w:hAnsi="Times New Roman" w:cs="Times New Roman"/>
                <w:sz w:val="24"/>
                <w:szCs w:val="24"/>
              </w:rPr>
              <w:t xml:space="preserve">  工艺流程图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工艺流程简述：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企业将回收来的木屑、刨花运送至堆场有序堆放好，自然晾干，投入初筛机进行粒料初清筛，筛选完成后，粒径符合要求的粒料将自动上料至制粒机，粒径较大的粗料则运输至粉碎机粉碎后上料至制粒机压制，制粒完成后进入冷却机通风冷却，完成后自动包装。</w:t>
            </w:r>
          </w:p>
          <w:p>
            <w:pPr>
              <w:spacing w:line="360" w:lineRule="auto"/>
              <w:rPr>
                <w:rFonts w:ascii="Times New Roman" w:hAnsi="Times New Roman" w:cs="Times New Roman"/>
                <w:b/>
                <w:sz w:val="24"/>
                <w:szCs w:val="24"/>
              </w:rPr>
            </w:pPr>
            <w:r>
              <w:rPr>
                <w:rFonts w:ascii="Times New Roman" w:hAnsi="Times New Roman" w:cs="Times New Roman"/>
                <w:b/>
                <w:sz w:val="24"/>
                <w:szCs w:val="24"/>
              </w:rPr>
              <w:t>5、现有项目污染物产生及排放情况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（1）水污染物产生及排放情况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厂区废水主要为生活污水，</w:t>
            </w:r>
            <w:r>
              <w:rPr>
                <w:rFonts w:hint="eastAsia" w:ascii="Times New Roman" w:hAnsi="Times New Roman" w:cs="Times New Roman"/>
                <w:sz w:val="24"/>
                <w:szCs w:val="24"/>
                <w:lang w:val="en-US" w:eastAsia="zh-CN"/>
              </w:rPr>
              <w:t>原环评及自查报告中，</w:t>
            </w:r>
            <w:r>
              <w:rPr>
                <w:rFonts w:ascii="Times New Roman" w:hAnsi="Times New Roman" w:cs="Times New Roman"/>
                <w:sz w:val="24"/>
                <w:szCs w:val="24"/>
              </w:rPr>
              <w:t>生活污水经厂内化粪池处理后灌溉农田</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现项目所在区域管网已铺设到位，</w:t>
            </w:r>
            <w:r>
              <w:rPr>
                <w:rFonts w:hint="eastAsia" w:ascii="宋体" w:hAnsi="宋体" w:eastAsia="宋体" w:cs="宋体"/>
                <w:color w:val="auto"/>
                <w:sz w:val="24"/>
                <w:lang w:bidi="ar"/>
              </w:rPr>
              <w:t>接管至武进城区污水处理厂处理</w:t>
            </w:r>
            <w:r>
              <w:rPr>
                <w:rFonts w:ascii="Times New Roman" w:hAnsi="Times New Roman" w:cs="Times New Roman"/>
                <w:sz w:val="24"/>
                <w:szCs w:val="24"/>
              </w:rPr>
              <w:t>。企业现有项目废水产生及处理情况见表1-8。</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表1-8生活污水产生及排放情况</w:t>
            </w:r>
          </w:p>
          <w:tbl>
            <w:tblPr>
              <w:tblStyle w:val="15"/>
              <w:tblW w:w="8396" w:type="dxa"/>
              <w:tblInd w:w="0" w:type="dxa"/>
              <w:tblLayout w:type="fixed"/>
              <w:tblCellMar>
                <w:top w:w="0" w:type="dxa"/>
                <w:left w:w="108" w:type="dxa"/>
                <w:bottom w:w="0" w:type="dxa"/>
                <w:right w:w="108" w:type="dxa"/>
              </w:tblCellMar>
            </w:tblPr>
            <w:tblGrid>
              <w:gridCol w:w="722"/>
              <w:gridCol w:w="756"/>
              <w:gridCol w:w="995"/>
              <w:gridCol w:w="859"/>
              <w:gridCol w:w="828"/>
              <w:gridCol w:w="826"/>
              <w:gridCol w:w="844"/>
              <w:gridCol w:w="968"/>
              <w:gridCol w:w="881"/>
              <w:gridCol w:w="717"/>
            </w:tblGrid>
            <w:tr>
              <w:tblPrEx>
                <w:tblLayout w:type="fixed"/>
                <w:tblCellMar>
                  <w:top w:w="0" w:type="dxa"/>
                  <w:left w:w="108" w:type="dxa"/>
                  <w:bottom w:w="0" w:type="dxa"/>
                  <w:right w:w="108" w:type="dxa"/>
                </w:tblCellMar>
              </w:tblPrEx>
              <w:trPr>
                <w:trHeight w:val="340" w:hRule="atLeast"/>
              </w:trPr>
              <w:tc>
                <w:tcPr>
                  <w:tcW w:w="72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废水来源</w:t>
                  </w:r>
                </w:p>
              </w:tc>
              <w:tc>
                <w:tcPr>
                  <w:tcW w:w="756" w:type="dxa"/>
                  <w:tcBorders>
                    <w:top w:val="single" w:color="auto" w:sz="8" w:space="0"/>
                    <w:left w:val="nil"/>
                    <w:bottom w:val="nil"/>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废水量</w:t>
                  </w:r>
                </w:p>
              </w:tc>
              <w:tc>
                <w:tcPr>
                  <w:tcW w:w="2682"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污染物产生量</w:t>
                  </w:r>
                </w:p>
              </w:tc>
              <w:tc>
                <w:tcPr>
                  <w:tcW w:w="82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采取的处理方式</w:t>
                  </w:r>
                </w:p>
              </w:tc>
              <w:tc>
                <w:tcPr>
                  <w:tcW w:w="2693"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污染物排放情况</w:t>
                  </w:r>
                </w:p>
              </w:tc>
              <w:tc>
                <w:tcPr>
                  <w:tcW w:w="71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排放去向</w:t>
                  </w:r>
                </w:p>
              </w:tc>
            </w:tr>
            <w:tr>
              <w:tblPrEx>
                <w:tblLayout w:type="fixed"/>
                <w:tblCellMar>
                  <w:top w:w="0" w:type="dxa"/>
                  <w:left w:w="108" w:type="dxa"/>
                  <w:bottom w:w="0" w:type="dxa"/>
                  <w:right w:w="108" w:type="dxa"/>
                </w:tblCellMar>
              </w:tblPrEx>
              <w:trPr>
                <w:trHeight w:val="340" w:hRule="atLeast"/>
              </w:trPr>
              <w:tc>
                <w:tcPr>
                  <w:tcW w:w="72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7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t/a</w:t>
                  </w: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污染物名称</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浓度mg/L</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产生量t/a</w:t>
                  </w:r>
                </w:p>
              </w:tc>
              <w:tc>
                <w:tcPr>
                  <w:tcW w:w="826"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污染物名称</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浓度mg/L</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排放量t/a</w:t>
                  </w:r>
                </w:p>
              </w:tc>
              <w:tc>
                <w:tcPr>
                  <w:tcW w:w="717" w:type="dxa"/>
                  <w:vMerge w:val="continue"/>
                  <w:tcBorders>
                    <w:top w:val="single" w:color="auto" w:sz="8" w:space="0"/>
                    <w:left w:val="single" w:color="auto" w:sz="8" w:space="0"/>
                    <w:bottom w:val="single" w:color="000000" w:sz="8" w:space="0"/>
                    <w:right w:val="single" w:color="auto" w:sz="8" w:space="0"/>
                  </w:tcBorders>
                  <w:vAlign w:val="center"/>
                </w:tcPr>
                <w:p>
                  <w:pPr>
                    <w:widowControl/>
                    <w:rPr>
                      <w:rFonts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340" w:hRule="atLeast"/>
              </w:trPr>
              <w:tc>
                <w:tcPr>
                  <w:tcW w:w="72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生活污水</w:t>
                  </w:r>
                </w:p>
              </w:tc>
              <w:tc>
                <w:tcPr>
                  <w:tcW w:w="75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192</w:t>
                  </w: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pH</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5.5-8.5</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82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经化粪池处理后</w:t>
                  </w: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pH</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5.5-8.5</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71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接管至武进城区污水处理厂</w:t>
                  </w:r>
                </w:p>
              </w:tc>
            </w:tr>
            <w:tr>
              <w:tblPrEx>
                <w:tblLayout w:type="fixed"/>
                <w:tblCellMar>
                  <w:top w:w="0" w:type="dxa"/>
                  <w:left w:w="108" w:type="dxa"/>
                  <w:bottom w:w="0" w:type="dxa"/>
                  <w:right w:w="108" w:type="dxa"/>
                </w:tblCellMar>
              </w:tblPrEx>
              <w:trPr>
                <w:trHeight w:val="340" w:hRule="atLeast"/>
              </w:trPr>
              <w:tc>
                <w:tcPr>
                  <w:tcW w:w="722"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75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COD</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500</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0.096</w:t>
                  </w:r>
                </w:p>
              </w:tc>
              <w:tc>
                <w:tcPr>
                  <w:tcW w:w="82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COD</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kern w:val="0"/>
                      <w:szCs w:val="21"/>
                      <w:lang w:val="en-US" w:eastAsia="zh-CN"/>
                    </w:rPr>
                    <w:t>500</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0.096</w:t>
                  </w:r>
                </w:p>
              </w:tc>
              <w:tc>
                <w:tcPr>
                  <w:tcW w:w="717" w:type="dxa"/>
                  <w:vMerge w:val="continue"/>
                  <w:tcBorders>
                    <w:top w:val="nil"/>
                    <w:left w:val="single" w:color="auto" w:sz="8" w:space="0"/>
                    <w:bottom w:val="single" w:color="000000" w:sz="8" w:space="0"/>
                    <w:right w:val="single" w:color="auto" w:sz="8" w:space="0"/>
                  </w:tcBorders>
                  <w:vAlign w:val="center"/>
                </w:tcPr>
                <w:p>
                  <w:pPr>
                    <w:widowControl/>
                    <w:rPr>
                      <w:rFonts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340" w:hRule="atLeast"/>
              </w:trPr>
              <w:tc>
                <w:tcPr>
                  <w:tcW w:w="722"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75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SS</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400</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0.077</w:t>
                  </w:r>
                </w:p>
              </w:tc>
              <w:tc>
                <w:tcPr>
                  <w:tcW w:w="82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SS</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kern w:val="0"/>
                      <w:szCs w:val="21"/>
                      <w:lang w:val="en-US" w:eastAsia="zh-CN"/>
                    </w:rPr>
                    <w:t>400</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0.077</w:t>
                  </w:r>
                </w:p>
              </w:tc>
              <w:tc>
                <w:tcPr>
                  <w:tcW w:w="717" w:type="dxa"/>
                  <w:vMerge w:val="continue"/>
                  <w:tcBorders>
                    <w:top w:val="nil"/>
                    <w:left w:val="single" w:color="auto" w:sz="8" w:space="0"/>
                    <w:bottom w:val="single" w:color="000000" w:sz="8" w:space="0"/>
                    <w:right w:val="single" w:color="auto" w:sz="8" w:space="0"/>
                  </w:tcBorders>
                  <w:vAlign w:val="center"/>
                </w:tcPr>
                <w:p>
                  <w:pPr>
                    <w:widowControl/>
                    <w:rPr>
                      <w:rFonts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340" w:hRule="atLeast"/>
              </w:trPr>
              <w:tc>
                <w:tcPr>
                  <w:tcW w:w="722"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75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NH</w:t>
                  </w:r>
                  <w:r>
                    <w:rPr>
                      <w:rFonts w:ascii="Times New Roman" w:hAnsi="Times New Roman" w:cs="Times New Roman"/>
                      <w:kern w:val="0"/>
                      <w:szCs w:val="21"/>
                      <w:vertAlign w:val="subscript"/>
                    </w:rPr>
                    <w:t>3</w:t>
                  </w:r>
                  <w:r>
                    <w:rPr>
                      <w:rFonts w:ascii="Times New Roman" w:hAnsi="Times New Roman" w:cs="Times New Roman"/>
                      <w:kern w:val="0"/>
                      <w:szCs w:val="21"/>
                    </w:rPr>
                    <w:t>-N</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30</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0.006</w:t>
                  </w:r>
                </w:p>
              </w:tc>
              <w:tc>
                <w:tcPr>
                  <w:tcW w:w="82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NH</w:t>
                  </w:r>
                  <w:r>
                    <w:rPr>
                      <w:rFonts w:ascii="Times New Roman" w:hAnsi="Times New Roman" w:cs="Times New Roman"/>
                      <w:kern w:val="0"/>
                      <w:szCs w:val="21"/>
                      <w:vertAlign w:val="subscript"/>
                    </w:rPr>
                    <w:t>3</w:t>
                  </w:r>
                  <w:r>
                    <w:rPr>
                      <w:rFonts w:ascii="Times New Roman" w:hAnsi="Times New Roman" w:cs="Times New Roman"/>
                      <w:kern w:val="0"/>
                      <w:szCs w:val="21"/>
                    </w:rPr>
                    <w:t>-N</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kern w:val="0"/>
                      <w:szCs w:val="21"/>
                      <w:lang w:val="en-US" w:eastAsia="zh-CN"/>
                    </w:rPr>
                    <w:t>30</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0.006</w:t>
                  </w:r>
                </w:p>
              </w:tc>
              <w:tc>
                <w:tcPr>
                  <w:tcW w:w="717" w:type="dxa"/>
                  <w:vMerge w:val="continue"/>
                  <w:tcBorders>
                    <w:top w:val="nil"/>
                    <w:left w:val="single" w:color="auto" w:sz="8" w:space="0"/>
                    <w:bottom w:val="single" w:color="000000" w:sz="8" w:space="0"/>
                    <w:right w:val="single" w:color="auto" w:sz="8" w:space="0"/>
                  </w:tcBorders>
                  <w:vAlign w:val="center"/>
                </w:tcPr>
                <w:p>
                  <w:pPr>
                    <w:widowControl/>
                    <w:rPr>
                      <w:rFonts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340" w:hRule="atLeast"/>
              </w:trPr>
              <w:tc>
                <w:tcPr>
                  <w:tcW w:w="722"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75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kern w:val="0"/>
                      <w:szCs w:val="21"/>
                    </w:rPr>
                  </w:pP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TP</w:t>
                  </w:r>
                </w:p>
              </w:tc>
              <w:tc>
                <w:tcPr>
                  <w:tcW w:w="859"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5</w:t>
                  </w:r>
                </w:p>
              </w:tc>
              <w:tc>
                <w:tcPr>
                  <w:tcW w:w="828"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0.001</w:t>
                  </w:r>
                </w:p>
              </w:tc>
              <w:tc>
                <w:tcPr>
                  <w:tcW w:w="826" w:type="dxa"/>
                  <w:vMerge w:val="continue"/>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cs="Times New Roman"/>
                      <w:color w:val="000000"/>
                      <w:kern w:val="0"/>
                      <w:szCs w:val="21"/>
                    </w:rPr>
                  </w:pPr>
                </w:p>
              </w:tc>
              <w:tc>
                <w:tcPr>
                  <w:tcW w:w="84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TP</w:t>
                  </w:r>
                </w:p>
              </w:tc>
              <w:tc>
                <w:tcPr>
                  <w:tcW w:w="96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kern w:val="0"/>
                      <w:szCs w:val="21"/>
                      <w:lang w:val="en-US" w:eastAsia="zh-CN"/>
                    </w:rPr>
                    <w:t>5</w:t>
                  </w:r>
                </w:p>
              </w:tc>
              <w:tc>
                <w:tcPr>
                  <w:tcW w:w="88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0.001</w:t>
                  </w:r>
                </w:p>
              </w:tc>
              <w:tc>
                <w:tcPr>
                  <w:tcW w:w="717" w:type="dxa"/>
                  <w:vMerge w:val="continue"/>
                  <w:tcBorders>
                    <w:top w:val="nil"/>
                    <w:left w:val="single" w:color="auto" w:sz="8" w:space="0"/>
                    <w:bottom w:val="single" w:color="000000" w:sz="8" w:space="0"/>
                    <w:right w:val="single" w:color="auto" w:sz="8" w:space="0"/>
                  </w:tcBorders>
                  <w:vAlign w:val="center"/>
                </w:tcPr>
                <w:p>
                  <w:pPr>
                    <w:widowControl/>
                    <w:rPr>
                      <w:rFonts w:ascii="Times New Roman" w:hAnsi="Times New Roman" w:cs="Times New Roman"/>
                      <w:color w:val="000000"/>
                      <w:kern w:val="0"/>
                      <w:szCs w:val="21"/>
                    </w:rPr>
                  </w:pPr>
                </w:p>
              </w:tc>
            </w:tr>
          </w:tbl>
          <w:p>
            <w:pPr>
              <w:numPr>
                <w:ilvl w:val="0"/>
                <w:numId w:val="1"/>
              </w:num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大气污染物产生及排放情况</w:t>
            </w:r>
          </w:p>
          <w:p>
            <w:pPr>
              <w:spacing w:line="360" w:lineRule="auto"/>
              <w:ind w:firstLine="480" w:firstLineChars="200"/>
              <w:rPr>
                <w:rFonts w:hint="default" w:ascii="Times New Roman" w:hAnsi="Times New Roman" w:cs="Times New Roman"/>
                <w:b w:val="0"/>
                <w:bCs w:val="0"/>
                <w:sz w:val="24"/>
                <w:szCs w:val="24"/>
                <w:lang w:val="en-US"/>
              </w:rPr>
            </w:pPr>
            <w:r>
              <w:rPr>
                <w:rFonts w:hint="eastAsia" w:ascii="Times New Roman" w:hAnsi="Times New Roman" w:cs="Times New Roman"/>
                <w:b w:val="0"/>
                <w:bCs w:val="0"/>
                <w:sz w:val="24"/>
                <w:szCs w:val="24"/>
                <w:lang w:val="en-US" w:eastAsia="zh-CN"/>
              </w:rPr>
              <w:t>原有项目粉碎工段产生的粉尘经一套脉冲布袋除尘装置处理后呈无组织排放，收集的粉尘回用于造粒工段；制粒工段和冷却工段产生的粉尘经另一套脉冲布袋除尘装置处理后呈无组织排放，收集的粉尘回用于造粒工段。企业回收的木屑和刨花采用车辆运输，在堆场堆放晾干过程中会有少量粉尘产生，以无组织颗粒物的形式在堆场内散逸，全年产生量0.5t/a。</w:t>
            </w:r>
          </w:p>
          <w:p>
            <w:pPr>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根据2014.10常州市武进区环境监测站验收监测表（2014）环监字（1B）第（084）号，粉尘周界外浓度最高点≤1.0mg/m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（3）噪声产生及排放</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为了解项目所在地声环境质量现状，委托</w:t>
            </w:r>
            <w:r>
              <w:rPr>
                <w:sz w:val="24"/>
              </w:rPr>
              <w:t>常州佳蓝环境检测有限公司</w:t>
            </w:r>
            <w:r>
              <w:rPr>
                <w:rFonts w:ascii="Times New Roman" w:hAnsi="Times New Roman" w:eastAsia="宋体" w:cs="Times New Roman"/>
                <w:color w:val="auto"/>
                <w:sz w:val="24"/>
                <w:lang w:bidi="ar"/>
              </w:rPr>
              <w:t>于201</w:t>
            </w:r>
            <w:r>
              <w:rPr>
                <w:rFonts w:hint="eastAsia" w:ascii="Times New Roman" w:hAnsi="Times New Roman" w:eastAsia="宋体" w:cs="Times New Roman"/>
                <w:color w:val="auto"/>
                <w:sz w:val="24"/>
                <w:lang w:val="en-US" w:eastAsia="zh-CN" w:bidi="ar"/>
              </w:rPr>
              <w:t>9</w:t>
            </w:r>
            <w:r>
              <w:rPr>
                <w:rFonts w:hint="eastAsia" w:ascii="宋体" w:hAnsi="宋体" w:eastAsia="宋体" w:cs="宋体"/>
                <w:color w:val="auto"/>
                <w:sz w:val="24"/>
                <w:lang w:bidi="ar"/>
              </w:rPr>
              <w:t>年</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27</w:t>
            </w:r>
            <w:r>
              <w:rPr>
                <w:rFonts w:ascii="Times New Roman" w:hAnsi="Times New Roman" w:eastAsia="宋体" w:cs="Times New Roman"/>
                <w:color w:val="auto"/>
                <w:sz w:val="24"/>
                <w:lang w:bidi="ar"/>
              </w:rPr>
              <w:t>日-</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28</w:t>
            </w:r>
            <w:r>
              <w:rPr>
                <w:rFonts w:ascii="Times New Roman" w:hAnsi="Times New Roman" w:eastAsia="宋体" w:cs="Times New Roman"/>
                <w:color w:val="auto"/>
                <w:sz w:val="24"/>
                <w:lang w:bidi="ar"/>
              </w:rPr>
              <w:t>日对项目厂界四周进行的现场噪声监测，监测结果见表</w:t>
            </w:r>
            <w:r>
              <w:rPr>
                <w:rFonts w:hint="eastAsia" w:ascii="Times New Roman" w:hAnsi="Times New Roman" w:eastAsia="宋体" w:cs="Times New Roman"/>
                <w:color w:val="auto"/>
                <w:sz w:val="24"/>
                <w:lang w:val="en-US" w:eastAsia="zh-CN" w:bidi="ar"/>
              </w:rPr>
              <w:t>1-9</w:t>
            </w:r>
            <w:r>
              <w:rPr>
                <w:rFonts w:hint="eastAsia" w:ascii="宋体" w:hAnsi="宋体" w:eastAsia="宋体" w:cs="宋体"/>
                <w:color w:val="auto"/>
                <w:sz w:val="24"/>
                <w:lang w:bidi="ar"/>
              </w:rPr>
              <w:t>。</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w:t>
            </w:r>
            <w:r>
              <w:rPr>
                <w:rFonts w:hint="eastAsia" w:ascii="Times New Roman" w:hAnsi="Times New Roman" w:eastAsia="宋体" w:cs="Times New Roman"/>
                <w:b/>
                <w:color w:val="auto"/>
                <w:sz w:val="24"/>
                <w:lang w:val="en-US" w:eastAsia="zh-CN" w:bidi="ar"/>
              </w:rPr>
              <w:t xml:space="preserve">1-9 </w:t>
            </w:r>
            <w:r>
              <w:rPr>
                <w:rFonts w:hint="eastAsia" w:ascii="宋体" w:hAnsi="宋体" w:eastAsia="宋体" w:cs="宋体"/>
                <w:b/>
                <w:color w:val="auto"/>
                <w:sz w:val="24"/>
                <w:lang w:bidi="ar"/>
              </w:rPr>
              <w:t>噪声现状监测结果统计表单位：</w:t>
            </w:r>
            <w:r>
              <w:rPr>
                <w:rFonts w:ascii="Times New Roman" w:hAnsi="Times New Roman" w:eastAsia="宋体" w:cs="Times New Roman"/>
                <w:b/>
                <w:color w:val="auto"/>
                <w:sz w:val="24"/>
                <w:lang w:bidi="ar"/>
              </w:rPr>
              <w:t>dB</w:t>
            </w:r>
            <w:r>
              <w:rPr>
                <w:rFonts w:hint="eastAsia" w:ascii="宋体" w:hAnsi="宋体" w:eastAsia="宋体" w:cs="宋体"/>
                <w:b/>
                <w:color w:val="auto"/>
                <w:sz w:val="24"/>
                <w:lang w:bidi="ar"/>
              </w:rPr>
              <w:t>（</w:t>
            </w:r>
            <w:r>
              <w:rPr>
                <w:rFonts w:ascii="Times New Roman" w:hAnsi="Times New Roman" w:eastAsia="宋体" w:cs="Times New Roman"/>
                <w:b/>
                <w:color w:val="auto"/>
                <w:sz w:val="24"/>
                <w:lang w:bidi="ar"/>
              </w:rPr>
              <w:t>A</w:t>
            </w:r>
            <w:r>
              <w:rPr>
                <w:rFonts w:hint="eastAsia" w:ascii="宋体" w:hAnsi="宋体" w:eastAsia="宋体" w:cs="宋体"/>
                <w:b/>
                <w:color w:val="auto"/>
                <w:sz w:val="24"/>
                <w:lang w:bidi="ar"/>
              </w:rPr>
              <w:t>）</w:t>
            </w:r>
          </w:p>
          <w:tbl>
            <w:tblPr>
              <w:tblStyle w:val="16"/>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3"/>
              <w:gridCol w:w="2"/>
              <w:gridCol w:w="1496"/>
              <w:gridCol w:w="1"/>
              <w:gridCol w:w="1496"/>
              <w:gridCol w:w="1"/>
              <w:gridCol w:w="1643"/>
              <w:gridCol w:w="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 w:val="21"/>
                      <w:szCs w:val="21"/>
                    </w:rPr>
                  </w:pPr>
                  <w:r>
                    <w:rPr>
                      <w:rFonts w:hint="eastAsia"/>
                      <w:color w:val="auto"/>
                      <w:sz w:val="21"/>
                      <w:szCs w:val="21"/>
                      <w:lang w:val="en-US" w:eastAsia="zh-CN"/>
                    </w:rPr>
                    <w:t>项目</w:t>
                  </w:r>
                </w:p>
              </w:tc>
              <w:tc>
                <w:tcPr>
                  <w:tcW w:w="1498"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N1</w:t>
                  </w:r>
                  <w:r>
                    <w:rPr>
                      <w:rFonts w:hint="eastAsia" w:ascii="宋体" w:hAnsi="宋体" w:cs="宋体"/>
                      <w:color w:val="auto"/>
                      <w:sz w:val="21"/>
                      <w:szCs w:val="21"/>
                    </w:rPr>
                    <w:t>（东厂界</w:t>
                  </w:r>
                  <w:r>
                    <w:rPr>
                      <w:color w:val="auto"/>
                      <w:sz w:val="21"/>
                      <w:szCs w:val="21"/>
                    </w:rPr>
                    <w:t>）</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N2</w:t>
                  </w:r>
                  <w:r>
                    <w:rPr>
                      <w:rFonts w:hint="eastAsia" w:ascii="宋体" w:hAnsi="宋体" w:cs="宋体"/>
                      <w:color w:val="auto"/>
                      <w:sz w:val="21"/>
                      <w:szCs w:val="21"/>
                    </w:rPr>
                    <w:t>（南厂界</w:t>
                  </w:r>
                  <w:r>
                    <w:rPr>
                      <w:color w:val="auto"/>
                      <w:sz w:val="21"/>
                      <w:szCs w:val="21"/>
                    </w:rPr>
                    <w:t>）</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N3</w:t>
                  </w:r>
                  <w:r>
                    <w:rPr>
                      <w:rFonts w:hint="eastAsia" w:ascii="宋体" w:hAnsi="宋体" w:cs="宋体"/>
                      <w:color w:val="auto"/>
                      <w:sz w:val="21"/>
                      <w:szCs w:val="21"/>
                    </w:rPr>
                    <w:t>（西厂界</w:t>
                  </w:r>
                  <w:r>
                    <w:rPr>
                      <w:color w:val="auto"/>
                      <w:sz w:val="21"/>
                      <w:szCs w:val="21"/>
                    </w:rPr>
                    <w:t>）</w:t>
                  </w:r>
                </w:p>
              </w:tc>
              <w:tc>
                <w:tcPr>
                  <w:tcW w:w="172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N4</w:t>
                  </w:r>
                  <w:r>
                    <w:rPr>
                      <w:rFonts w:hint="eastAsia" w:ascii="宋体" w:hAnsi="宋体" w:cs="宋体"/>
                      <w:color w:val="auto"/>
                      <w:sz w:val="21"/>
                      <w:szCs w:val="21"/>
                    </w:rPr>
                    <w:t>（北厂界</w:t>
                  </w: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54"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27日</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昼间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48.2</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default" w:eastAsia="宋体"/>
                      <w:color w:val="auto"/>
                      <w:sz w:val="21"/>
                      <w:szCs w:val="21"/>
                      <w:lang w:val="en-US" w:eastAsia="zh-CN"/>
                    </w:rPr>
                    <w:t>48.4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49.0</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54"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夜间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44.9</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45.8</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54"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28日</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昼间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48.1</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48.9</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49.3</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54"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夜间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45.1</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lang w:val="en-US" w:eastAsia="zh-CN"/>
                    </w:rPr>
                  </w:pPr>
                  <w:r>
                    <w:rPr>
                      <w:rFonts w:hint="eastAsia"/>
                      <w:lang w:val="en-US" w:eastAsia="zh-CN"/>
                    </w:rPr>
                    <w:t>45.4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44.9</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44.8</w:t>
                  </w:r>
                </w:p>
              </w:tc>
            </w:tr>
          </w:tbl>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监测结果表明，厂界昼间噪声等效声级符合《工业企业厂界环境噪声排放标准》(GB12348-2008)中2类标准的要求。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（4）固体废物产生及排放</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现有项目固体废物主要为员工生活垃圾</w:t>
            </w:r>
            <w:r>
              <w:rPr>
                <w:rFonts w:hint="eastAsia" w:ascii="Times New Roman" w:hAnsi="Times New Roman" w:cs="Times New Roman"/>
                <w:sz w:val="24"/>
                <w:szCs w:val="24"/>
                <w:lang w:val="en-US" w:eastAsia="zh-CN"/>
              </w:rPr>
              <w:t>和收集的粉尘</w:t>
            </w:r>
            <w:r>
              <w:rPr>
                <w:rFonts w:ascii="Times New Roman" w:hAnsi="Times New Roman" w:cs="Times New Roman"/>
                <w:sz w:val="24"/>
                <w:szCs w:val="24"/>
              </w:rPr>
              <w:t>。生活垃圾由环卫收集；</w:t>
            </w:r>
            <w:r>
              <w:rPr>
                <w:rFonts w:hint="eastAsia" w:ascii="Times New Roman" w:hAnsi="Times New Roman" w:cs="Times New Roman"/>
                <w:b w:val="0"/>
                <w:bCs w:val="0"/>
                <w:sz w:val="24"/>
                <w:szCs w:val="24"/>
                <w:lang w:val="en-US" w:eastAsia="zh-CN"/>
              </w:rPr>
              <w:t>收集的粉尘回用于造粒工段</w:t>
            </w:r>
            <w:r>
              <w:rPr>
                <w:rFonts w:ascii="Times New Roman" w:hAnsi="Times New Roman" w:cs="Times New Roman"/>
                <w:sz w:val="24"/>
                <w:szCs w:val="24"/>
              </w:rPr>
              <w:t>，固体废物均得到有效处置。</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原有项目污染物排放汇总统计见表1-</w:t>
            </w:r>
            <w:r>
              <w:rPr>
                <w:rFonts w:hint="eastAsia" w:ascii="Times New Roman" w:hAnsi="Times New Roman" w:cs="Times New Roman"/>
                <w:b/>
                <w:sz w:val="24"/>
                <w:szCs w:val="24"/>
                <w:lang w:val="en-US" w:eastAsia="zh-CN"/>
              </w:rPr>
              <w:t>15</w:t>
            </w:r>
            <w:r>
              <w:rPr>
                <w:rFonts w:ascii="Times New Roman" w:hAnsi="Times New Roman" w:cs="Times New Roman"/>
                <w:b/>
                <w:sz w:val="24"/>
                <w:szCs w:val="24"/>
              </w:rPr>
              <w:t>。</w:t>
            </w:r>
          </w:p>
          <w:p>
            <w:pPr>
              <w:spacing w:line="360" w:lineRule="auto"/>
              <w:ind w:firstLine="482" w:firstLineChars="200"/>
              <w:jc w:val="center"/>
              <w:rPr>
                <w:rFonts w:ascii="Times New Roman" w:hAnsi="Times New Roman" w:cs="Times New Roman"/>
                <w:b/>
                <w:sz w:val="24"/>
                <w:szCs w:val="24"/>
              </w:rPr>
            </w:pPr>
            <w:r>
              <w:rPr>
                <w:rFonts w:ascii="Times New Roman" w:hAnsi="Times New Roman" w:cs="Times New Roman"/>
                <w:b/>
                <w:sz w:val="24"/>
                <w:szCs w:val="24"/>
              </w:rPr>
              <w:t>表1-</w:t>
            </w:r>
            <w:r>
              <w:rPr>
                <w:rFonts w:hint="eastAsia" w:ascii="Times New Roman" w:hAnsi="Times New Roman" w:cs="Times New Roman"/>
                <w:b/>
                <w:sz w:val="24"/>
                <w:szCs w:val="24"/>
                <w:lang w:val="en-US" w:eastAsia="zh-CN"/>
              </w:rPr>
              <w:t xml:space="preserve">15 </w:t>
            </w:r>
            <w:r>
              <w:rPr>
                <w:rFonts w:ascii="Times New Roman" w:hAnsi="Times New Roman" w:cs="Times New Roman"/>
                <w:b/>
                <w:sz w:val="24"/>
                <w:szCs w:val="24"/>
              </w:rPr>
              <w:t>原有项目污染物排放汇总统计一览表</w:t>
            </w:r>
            <w:r>
              <w:rPr>
                <w:rFonts w:hint="eastAsia" w:ascii="Times New Roman" w:hAnsi="Times New Roman" w:cs="Times New Roman"/>
                <w:b/>
                <w:sz w:val="24"/>
                <w:szCs w:val="24"/>
                <w:lang w:val="en-US" w:eastAsia="zh-CN"/>
              </w:rPr>
              <w:t xml:space="preserve">  </w:t>
            </w:r>
            <w:r>
              <w:rPr>
                <w:rFonts w:ascii="Times New Roman" w:hAnsi="Times New Roman" w:cs="Times New Roman"/>
                <w:b/>
                <w:sz w:val="24"/>
                <w:szCs w:val="24"/>
              </w:rPr>
              <w:t>单位：t/a</w:t>
            </w:r>
          </w:p>
          <w:tbl>
            <w:tblPr>
              <w:tblStyle w:val="15"/>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2442"/>
              <w:gridCol w:w="225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种类</w:t>
                  </w:r>
                </w:p>
              </w:tc>
              <w:tc>
                <w:tcPr>
                  <w:tcW w:w="2442"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污染物名称</w:t>
                  </w:r>
                </w:p>
              </w:tc>
              <w:tc>
                <w:tcPr>
                  <w:tcW w:w="2252" w:type="dxa"/>
                  <w:shd w:val="clear" w:color="auto" w:fill="auto"/>
                  <w:vAlign w:val="center"/>
                </w:tcPr>
                <w:p>
                  <w:pPr>
                    <w:pStyle w:val="50"/>
                    <w:rPr>
                      <w:rFonts w:ascii="Times New Roman" w:eastAsiaTheme="minorEastAsia"/>
                      <w:szCs w:val="21"/>
                    </w:rPr>
                  </w:pPr>
                  <w:r>
                    <w:rPr>
                      <w:rFonts w:ascii="Times New Roman" w:eastAsiaTheme="minorEastAsia"/>
                      <w:szCs w:val="21"/>
                    </w:rPr>
                    <w:t>自查评估核定排放量</w:t>
                  </w:r>
                </w:p>
              </w:tc>
              <w:tc>
                <w:tcPr>
                  <w:tcW w:w="2238" w:type="dxa"/>
                  <w:shd w:val="clear" w:color="auto" w:fill="auto"/>
                  <w:vAlign w:val="center"/>
                </w:tcPr>
                <w:p>
                  <w:pPr>
                    <w:pStyle w:val="50"/>
                    <w:rPr>
                      <w:rFonts w:ascii="Times New Roman" w:eastAsiaTheme="minorEastAsia"/>
                      <w:szCs w:val="21"/>
                    </w:rPr>
                  </w:pPr>
                  <w:r>
                    <w:rPr>
                      <w:rFonts w:ascii="Times New Roman" w:eastAsiaTheme="minorEastAsia"/>
                      <w:szCs w:val="21"/>
                    </w:rPr>
                    <w:t>最终外排环境量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无组织废气</w:t>
                  </w:r>
                </w:p>
              </w:tc>
              <w:tc>
                <w:tcPr>
                  <w:tcW w:w="2442" w:type="dxa"/>
                  <w:shd w:val="clear" w:color="auto" w:fill="auto"/>
                  <w:vAlign w:val="center"/>
                </w:tcPr>
                <w:p>
                  <w:pPr>
                    <w:pStyle w:val="51"/>
                    <w:spacing w:line="240" w:lineRule="auto"/>
                    <w:rPr>
                      <w:rFonts w:hint="eastAsia" w:ascii="Times New Roman" w:eastAsiaTheme="minorEastAsia"/>
                      <w:color w:val="000000"/>
                      <w:szCs w:val="21"/>
                      <w:lang w:eastAsia="zh-CN"/>
                    </w:rPr>
                  </w:pPr>
                  <w:r>
                    <w:rPr>
                      <w:rFonts w:hint="eastAsia" w:ascii="Times New Roman" w:eastAsiaTheme="minorEastAsia"/>
                      <w:color w:val="000000"/>
                      <w:szCs w:val="21"/>
                      <w:lang w:val="en-US" w:eastAsia="zh-CN"/>
                    </w:rPr>
                    <w:t>粉尘</w:t>
                  </w:r>
                </w:p>
              </w:tc>
              <w:tc>
                <w:tcPr>
                  <w:tcW w:w="2252" w:type="dxa"/>
                  <w:shd w:val="clear" w:color="auto" w:fill="auto"/>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3.6</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restart"/>
                  <w:shd w:val="clear" w:color="auto" w:fill="auto"/>
                  <w:vAlign w:val="center"/>
                </w:tcPr>
                <w:p>
                  <w:pPr>
                    <w:pStyle w:val="51"/>
                    <w:spacing w:line="240" w:lineRule="auto"/>
                    <w:rPr>
                      <w:rFonts w:hint="eastAsia" w:ascii="Times New Roman" w:eastAsiaTheme="minorEastAsia"/>
                      <w:szCs w:val="21"/>
                      <w:lang w:val="en-US" w:eastAsia="zh-CN"/>
                    </w:rPr>
                  </w:pPr>
                  <w:r>
                    <w:rPr>
                      <w:rFonts w:hint="eastAsia" w:ascii="Times New Roman" w:eastAsiaTheme="minorEastAsia"/>
                      <w:szCs w:val="21"/>
                      <w:lang w:val="en-US" w:eastAsia="zh-CN"/>
                    </w:rPr>
                    <w:t>生活污水</w:t>
                  </w:r>
                </w:p>
              </w:tc>
              <w:tc>
                <w:tcPr>
                  <w:tcW w:w="2442" w:type="dxa"/>
                  <w:shd w:val="clear" w:color="auto" w:fill="auto"/>
                  <w:vAlign w:val="center"/>
                </w:tcPr>
                <w:p>
                  <w:pPr>
                    <w:pStyle w:val="51"/>
                    <w:spacing w:line="240" w:lineRule="auto"/>
                    <w:rPr>
                      <w:rFonts w:hint="eastAsia" w:ascii="Times New Roman" w:eastAsiaTheme="minorEastAsia"/>
                      <w:color w:val="000000"/>
                      <w:szCs w:val="21"/>
                      <w:lang w:val="en-US" w:eastAsia="zh-CN"/>
                    </w:rPr>
                  </w:pPr>
                  <w:r>
                    <w:rPr>
                      <w:rFonts w:hint="eastAsia" w:ascii="Times New Roman" w:eastAsiaTheme="minorEastAsia"/>
                      <w:color w:val="000000"/>
                      <w:szCs w:val="21"/>
                      <w:lang w:val="en-US" w:eastAsia="zh-CN"/>
                    </w:rPr>
                    <w:t>水量</w:t>
                  </w:r>
                </w:p>
              </w:tc>
              <w:tc>
                <w:tcPr>
                  <w:tcW w:w="2252" w:type="dxa"/>
                  <w:shd w:val="clear" w:color="auto" w:fill="auto"/>
                  <w:vAlign w:val="center"/>
                </w:tcPr>
                <w:p>
                  <w:pPr>
                    <w:widowControl/>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192</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color w:val="000000"/>
                      <w:szCs w:val="21"/>
                      <w:lang w:val="en-US" w:eastAsia="zh-CN"/>
                    </w:rPr>
                  </w:pPr>
                  <w:r>
                    <w:rPr>
                      <w:rFonts w:hint="eastAsia" w:ascii="Times New Roman" w:eastAsiaTheme="minorEastAsia"/>
                      <w:color w:val="000000"/>
                      <w:szCs w:val="21"/>
                      <w:lang w:val="en-US" w:eastAsia="zh-CN"/>
                    </w:rPr>
                    <w:t>COD</w:t>
                  </w:r>
                </w:p>
              </w:tc>
              <w:tc>
                <w:tcPr>
                  <w:tcW w:w="2252" w:type="dxa"/>
                  <w:shd w:val="clear" w:color="auto" w:fill="auto"/>
                  <w:vAlign w:val="center"/>
                </w:tcPr>
                <w:p>
                  <w:pPr>
                    <w:widowControl/>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0.096</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color w:val="000000"/>
                      <w:szCs w:val="21"/>
                      <w:lang w:val="en-US" w:eastAsia="zh-CN"/>
                    </w:rPr>
                  </w:pPr>
                  <w:r>
                    <w:rPr>
                      <w:rFonts w:hint="eastAsia" w:ascii="Times New Roman" w:eastAsiaTheme="minorEastAsia"/>
                      <w:color w:val="000000"/>
                      <w:szCs w:val="21"/>
                      <w:lang w:val="en-US" w:eastAsia="zh-CN"/>
                    </w:rPr>
                    <w:t>SS</w:t>
                  </w:r>
                </w:p>
              </w:tc>
              <w:tc>
                <w:tcPr>
                  <w:tcW w:w="2252" w:type="dxa"/>
                  <w:shd w:val="clear" w:color="auto" w:fill="auto"/>
                  <w:vAlign w:val="center"/>
                </w:tcPr>
                <w:p>
                  <w:pPr>
                    <w:widowControl/>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0.077</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color w:val="000000"/>
                      <w:szCs w:val="21"/>
                      <w:lang w:val="en-US" w:eastAsia="zh-CN"/>
                    </w:rPr>
                  </w:pPr>
                  <w:r>
                    <w:rPr>
                      <w:rFonts w:hint="eastAsia" w:ascii="Times New Roman" w:eastAsiaTheme="minorEastAsia"/>
                      <w:color w:val="000000"/>
                      <w:szCs w:val="21"/>
                      <w:lang w:val="en-US" w:eastAsia="zh-CN"/>
                    </w:rPr>
                    <w:t>NH</w:t>
                  </w:r>
                  <w:r>
                    <w:rPr>
                      <w:rFonts w:hint="eastAsia" w:ascii="Times New Roman" w:eastAsiaTheme="minorEastAsia"/>
                      <w:color w:val="000000"/>
                      <w:szCs w:val="21"/>
                      <w:vertAlign w:val="subscript"/>
                      <w:lang w:val="en-US" w:eastAsia="zh-CN"/>
                    </w:rPr>
                    <w:t>3</w:t>
                  </w:r>
                  <w:r>
                    <w:rPr>
                      <w:rFonts w:hint="eastAsia" w:ascii="Times New Roman" w:eastAsiaTheme="minorEastAsia"/>
                      <w:color w:val="000000"/>
                      <w:szCs w:val="21"/>
                      <w:lang w:val="en-US" w:eastAsia="zh-CN"/>
                    </w:rPr>
                    <w:t>-N</w:t>
                  </w:r>
                </w:p>
              </w:tc>
              <w:tc>
                <w:tcPr>
                  <w:tcW w:w="2252" w:type="dxa"/>
                  <w:shd w:val="clear" w:color="auto" w:fill="auto"/>
                  <w:vAlign w:val="center"/>
                </w:tcPr>
                <w:p>
                  <w:pPr>
                    <w:widowControl/>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0.006</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color w:val="000000"/>
                      <w:szCs w:val="21"/>
                      <w:lang w:val="en-US" w:eastAsia="zh-CN"/>
                    </w:rPr>
                  </w:pPr>
                  <w:r>
                    <w:rPr>
                      <w:rFonts w:hint="eastAsia" w:ascii="Times New Roman" w:eastAsiaTheme="minorEastAsia"/>
                      <w:color w:val="000000"/>
                      <w:szCs w:val="21"/>
                      <w:lang w:val="en-US" w:eastAsia="zh-CN"/>
                    </w:rPr>
                    <w:t>TP</w:t>
                  </w:r>
                </w:p>
              </w:tc>
              <w:tc>
                <w:tcPr>
                  <w:tcW w:w="2252" w:type="dxa"/>
                  <w:shd w:val="clear" w:color="auto" w:fill="auto"/>
                  <w:vAlign w:val="center"/>
                </w:tcPr>
                <w:p>
                  <w:pPr>
                    <w:widowControl/>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0.001</w:t>
                  </w:r>
                </w:p>
              </w:tc>
              <w:tc>
                <w:tcPr>
                  <w:tcW w:w="223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restart"/>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固废</w:t>
                  </w:r>
                </w:p>
              </w:tc>
              <w:tc>
                <w:tcPr>
                  <w:tcW w:w="2442" w:type="dxa"/>
                  <w:shd w:val="clear" w:color="auto" w:fill="auto"/>
                  <w:vAlign w:val="center"/>
                </w:tcPr>
                <w:p>
                  <w:pPr>
                    <w:pStyle w:val="51"/>
                    <w:spacing w:line="240" w:lineRule="auto"/>
                    <w:rPr>
                      <w:rFonts w:hint="eastAsia" w:ascii="Times New Roman" w:eastAsiaTheme="minorEastAsia"/>
                      <w:szCs w:val="21"/>
                      <w:lang w:val="en-US" w:eastAsia="zh-CN"/>
                    </w:rPr>
                  </w:pPr>
                  <w:r>
                    <w:rPr>
                      <w:rFonts w:hint="eastAsia" w:ascii="Times New Roman" w:eastAsiaTheme="minorEastAsia"/>
                      <w:szCs w:val="21"/>
                      <w:lang w:val="en-US" w:eastAsia="zh-CN"/>
                    </w:rPr>
                    <w:t>生活垃圾</w:t>
                  </w:r>
                </w:p>
              </w:tc>
              <w:tc>
                <w:tcPr>
                  <w:tcW w:w="2252"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c>
                <w:tcPr>
                  <w:tcW w:w="2238"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szCs w:val="21"/>
                      <w:lang w:val="en-US" w:eastAsia="zh-CN"/>
                    </w:rPr>
                  </w:pPr>
                  <w:r>
                    <w:rPr>
                      <w:rFonts w:hint="eastAsia" w:ascii="Times New Roman" w:eastAsiaTheme="minorEastAsia"/>
                      <w:szCs w:val="21"/>
                      <w:lang w:val="en-US" w:eastAsia="zh-CN"/>
                    </w:rPr>
                    <w:t>一般固废</w:t>
                  </w:r>
                </w:p>
              </w:tc>
              <w:tc>
                <w:tcPr>
                  <w:tcW w:w="2252"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c>
                <w:tcPr>
                  <w:tcW w:w="2238"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85" w:type="dxa"/>
                  <w:vMerge w:val="continue"/>
                  <w:shd w:val="clear" w:color="auto" w:fill="auto"/>
                  <w:vAlign w:val="center"/>
                </w:tcPr>
                <w:p>
                  <w:pPr>
                    <w:pStyle w:val="51"/>
                    <w:spacing w:line="240" w:lineRule="auto"/>
                    <w:rPr>
                      <w:rFonts w:ascii="Times New Roman" w:eastAsiaTheme="minorEastAsia"/>
                      <w:szCs w:val="21"/>
                    </w:rPr>
                  </w:pPr>
                </w:p>
              </w:tc>
              <w:tc>
                <w:tcPr>
                  <w:tcW w:w="2442" w:type="dxa"/>
                  <w:shd w:val="clear" w:color="auto" w:fill="auto"/>
                  <w:vAlign w:val="center"/>
                </w:tcPr>
                <w:p>
                  <w:pPr>
                    <w:pStyle w:val="51"/>
                    <w:spacing w:line="240" w:lineRule="auto"/>
                    <w:rPr>
                      <w:rFonts w:hint="eastAsia" w:ascii="Times New Roman" w:eastAsiaTheme="minorEastAsia"/>
                      <w:szCs w:val="21"/>
                      <w:lang w:val="en-US" w:eastAsia="zh-CN"/>
                    </w:rPr>
                  </w:pPr>
                  <w:r>
                    <w:rPr>
                      <w:rFonts w:hint="eastAsia" w:ascii="Times New Roman" w:eastAsiaTheme="minorEastAsia"/>
                      <w:szCs w:val="21"/>
                      <w:lang w:val="en-US" w:eastAsia="zh-CN"/>
                    </w:rPr>
                    <w:t>危险固废</w:t>
                  </w:r>
                </w:p>
              </w:tc>
              <w:tc>
                <w:tcPr>
                  <w:tcW w:w="2252"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c>
                <w:tcPr>
                  <w:tcW w:w="2238" w:type="dxa"/>
                  <w:shd w:val="clear" w:color="auto" w:fill="auto"/>
                  <w:vAlign w:val="center"/>
                </w:tcPr>
                <w:p>
                  <w:pPr>
                    <w:pStyle w:val="51"/>
                    <w:spacing w:line="240" w:lineRule="auto"/>
                    <w:rPr>
                      <w:rFonts w:ascii="Times New Roman" w:eastAsiaTheme="minorEastAsia"/>
                      <w:szCs w:val="21"/>
                    </w:rPr>
                  </w:pPr>
                  <w:r>
                    <w:rPr>
                      <w:rFonts w:ascii="Times New Roman" w:eastAsiaTheme="minorEastAsia"/>
                      <w:szCs w:val="21"/>
                    </w:rPr>
                    <w:t>0</w:t>
                  </w:r>
                </w:p>
              </w:tc>
            </w:tr>
          </w:tbl>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p>
          <w:p>
            <w:pPr>
              <w:spacing w:line="360" w:lineRule="auto"/>
              <w:rPr>
                <w:rFonts w:ascii="Times New Roman" w:hAnsi="Times New Roman" w:eastAsia="宋体" w:cs="Times New Roman"/>
                <w:color w:val="auto"/>
                <w:sz w:val="24"/>
              </w:rPr>
            </w:pPr>
          </w:p>
        </w:tc>
      </w:tr>
    </w:tbl>
    <w:p>
      <w:pPr>
        <w:spacing w:line="360" w:lineRule="auto"/>
        <w:jc w:val="left"/>
        <w:outlineLvl w:val="0"/>
        <w:rPr>
          <w:rFonts w:hint="eastAsia" w:ascii="宋体" w:hAnsi="宋体" w:eastAsia="宋体" w:cs="宋体"/>
          <w:b/>
          <w:color w:val="auto"/>
          <w:sz w:val="30"/>
          <w:szCs w:val="30"/>
          <w:lang w:bidi="ar"/>
        </w:rPr>
      </w:pPr>
      <w:r>
        <w:rPr>
          <w:rFonts w:hint="eastAsia" w:ascii="宋体" w:hAnsi="宋体" w:eastAsia="宋体" w:cs="宋体"/>
          <w:b/>
          <w:color w:val="auto"/>
          <w:sz w:val="30"/>
          <w:szCs w:val="30"/>
          <w:lang w:bidi="ar"/>
        </w:rPr>
        <w:br w:type="page"/>
      </w: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建设项目所在地自然环境、基础设施及相关规划简况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自然环境简况（地形、地貌、地质、气候、气象、水文、植被、生物多样性等）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 xml:space="preserve">地形：地处长江三角洲平原，地势平坦，西北稍高，东南略低，以黄海高程计，平均地形高程4.5m </w:t>
            </w:r>
            <w:r>
              <w:rPr>
                <w:rFonts w:hint="eastAsia" w:ascii="宋体" w:hAnsi="宋体" w:eastAsia="宋体" w:cs="宋体"/>
                <w:color w:val="auto"/>
                <w:sz w:val="24"/>
                <w:lang w:bidi="ar"/>
              </w:rPr>
              <w:t>左右，最高</w:t>
            </w:r>
            <w:r>
              <w:rPr>
                <w:rFonts w:ascii="Times New Roman" w:hAnsi="Times New Roman" w:eastAsia="宋体" w:cs="Times New Roman"/>
                <w:color w:val="auto"/>
                <w:sz w:val="24"/>
                <w:lang w:bidi="ar"/>
              </w:rPr>
              <w:t>5.80m</w:t>
            </w:r>
            <w:r>
              <w:rPr>
                <w:rFonts w:hint="eastAsia" w:ascii="宋体" w:hAnsi="宋体" w:eastAsia="宋体" w:cs="宋体"/>
                <w:color w:val="auto"/>
                <w:sz w:val="24"/>
                <w:lang w:bidi="ar"/>
              </w:rPr>
              <w:t>，部分地区仅</w:t>
            </w:r>
            <w:r>
              <w:rPr>
                <w:rFonts w:ascii="Times New Roman" w:hAnsi="Times New Roman" w:eastAsia="宋体" w:cs="Times New Roman"/>
                <w:color w:val="auto"/>
                <w:sz w:val="24"/>
                <w:lang w:bidi="ar"/>
              </w:rPr>
              <w:t>2-3m</w:t>
            </w:r>
            <w:r>
              <w:rPr>
                <w:rFonts w:hint="eastAsia" w:ascii="宋体" w:hAnsi="宋体" w:eastAsia="宋体" w:cs="宋体"/>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地貌、地质</w:t>
            </w:r>
            <w:r>
              <w:rPr>
                <w:rFonts w:hint="eastAsia" w:ascii="Times New Roman" w:hAnsi="Times New Roman" w:eastAsia="宋体" w:cs="Times New Roman"/>
                <w:color w:val="auto"/>
                <w:sz w:val="24"/>
                <w:lang w:eastAsia="zh-CN" w:bidi="ar"/>
              </w:rPr>
              <w:t>：</w:t>
            </w:r>
            <w:r>
              <w:rPr>
                <w:rFonts w:hint="eastAsia" w:ascii="宋体" w:hAnsi="宋体" w:eastAsia="宋体" w:cs="宋体"/>
                <w:color w:val="auto"/>
                <w:sz w:val="24"/>
                <w:lang w:bidi="ar"/>
              </w:rPr>
              <w:t>硬土地基，地震基本烈度为</w:t>
            </w:r>
            <w:r>
              <w:rPr>
                <w:rFonts w:ascii="Times New Roman" w:hAnsi="Times New Roman" w:eastAsia="宋体" w:cs="Times New Roman"/>
                <w:color w:val="auto"/>
                <w:sz w:val="24"/>
                <w:lang w:bidi="ar"/>
              </w:rPr>
              <w:t>7</w:t>
            </w:r>
            <w:r>
              <w:rPr>
                <w:rFonts w:hint="eastAsia" w:ascii="宋体" w:hAnsi="宋体" w:eastAsia="宋体" w:cs="宋体"/>
                <w:color w:val="auto"/>
                <w:sz w:val="24"/>
                <w:lang w:bidi="ar"/>
              </w:rPr>
              <w:t>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气候：属北亚热带湿润性季风气候，温和湿润，四季分明。</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气象：项目所在地属北亚热带季风区，又处于长江和太湖、滆湖之间，水汽调节适宜，四季分明，气候湿润，雨量充沛，日照充足，无霜期长，据气象统计资料，区域多年平均气温16.6℃</w:t>
            </w:r>
            <w:r>
              <w:rPr>
                <w:rFonts w:hint="eastAsia" w:ascii="宋体" w:hAnsi="宋体" w:eastAsia="宋体" w:cs="宋体"/>
                <w:color w:val="auto"/>
                <w:sz w:val="24"/>
                <w:lang w:bidi="ar"/>
              </w:rPr>
              <w:t>，极端最高气温</w:t>
            </w:r>
            <w:r>
              <w:rPr>
                <w:rFonts w:ascii="Times New Roman" w:hAnsi="Times New Roman" w:eastAsia="宋体" w:cs="Times New Roman"/>
                <w:color w:val="auto"/>
                <w:sz w:val="24"/>
                <w:lang w:bidi="ar"/>
              </w:rPr>
              <w:t>37.8℃</w:t>
            </w:r>
            <w:r>
              <w:rPr>
                <w:rFonts w:hint="eastAsia" w:ascii="宋体" w:hAnsi="宋体" w:eastAsia="宋体" w:cs="宋体"/>
                <w:color w:val="auto"/>
                <w:sz w:val="24"/>
                <w:lang w:bidi="ar"/>
              </w:rPr>
              <w:t>，极端最低气温</w:t>
            </w:r>
            <w:r>
              <w:rPr>
                <w:rFonts w:ascii="Times New Roman" w:hAnsi="Times New Roman" w:eastAsia="宋体" w:cs="Times New Roman"/>
                <w:color w:val="auto"/>
                <w:sz w:val="24"/>
                <w:lang w:bidi="ar"/>
              </w:rPr>
              <w:t>-5.9℃</w:t>
            </w:r>
            <w:r>
              <w:rPr>
                <w:rFonts w:hint="eastAsia" w:ascii="宋体" w:hAnsi="宋体" w:eastAsia="宋体" w:cs="宋体"/>
                <w:color w:val="auto"/>
                <w:sz w:val="24"/>
                <w:lang w:bidi="ar"/>
              </w:rPr>
              <w:t>，无霜期</w:t>
            </w:r>
            <w:r>
              <w:rPr>
                <w:rFonts w:ascii="Times New Roman" w:hAnsi="Times New Roman" w:eastAsia="宋体" w:cs="Times New Roman"/>
                <w:color w:val="auto"/>
                <w:sz w:val="24"/>
                <w:lang w:bidi="ar"/>
              </w:rPr>
              <w:t>226</w:t>
            </w:r>
            <w:r>
              <w:rPr>
                <w:rFonts w:hint="eastAsia" w:ascii="宋体" w:hAnsi="宋体" w:eastAsia="宋体" w:cs="宋体"/>
                <w:color w:val="auto"/>
                <w:sz w:val="24"/>
                <w:lang w:bidi="ar"/>
              </w:rPr>
              <w:t>天，多年平均雾日</w:t>
            </w:r>
            <w:r>
              <w:rPr>
                <w:rFonts w:ascii="Times New Roman" w:hAnsi="Times New Roman" w:eastAsia="宋体" w:cs="Times New Roman"/>
                <w:color w:val="auto"/>
                <w:sz w:val="24"/>
                <w:lang w:bidi="ar"/>
              </w:rPr>
              <w:t>30</w:t>
            </w:r>
            <w:r>
              <w:rPr>
                <w:rFonts w:hint="eastAsia" w:ascii="宋体" w:hAnsi="宋体" w:eastAsia="宋体" w:cs="宋体"/>
                <w:color w:val="auto"/>
                <w:sz w:val="24"/>
                <w:lang w:bidi="ar"/>
              </w:rPr>
              <w:t>天，多年平均降雨量</w:t>
            </w:r>
            <w:r>
              <w:rPr>
                <w:rFonts w:ascii="Times New Roman" w:hAnsi="Times New Roman" w:eastAsia="宋体" w:cs="Times New Roman"/>
                <w:color w:val="auto"/>
                <w:sz w:val="24"/>
                <w:lang w:bidi="ar"/>
              </w:rPr>
              <w:t>1172.9mm</w:t>
            </w:r>
            <w:r>
              <w:rPr>
                <w:rFonts w:hint="eastAsia" w:ascii="宋体" w:hAnsi="宋体" w:eastAsia="宋体" w:cs="宋体"/>
                <w:color w:val="auto"/>
                <w:sz w:val="24"/>
                <w:lang w:bidi="ar"/>
              </w:rPr>
              <w:t>，主要集中在夏秋两季，汛期雨量为</w:t>
            </w:r>
            <w:r>
              <w:rPr>
                <w:rFonts w:ascii="Times New Roman" w:hAnsi="Times New Roman" w:eastAsia="宋体" w:cs="Times New Roman"/>
                <w:color w:val="auto"/>
                <w:sz w:val="24"/>
                <w:lang w:bidi="ar"/>
              </w:rPr>
              <w:t>573.6mm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6~9</w:t>
            </w:r>
            <w:r>
              <w:rPr>
                <w:rFonts w:hint="eastAsia" w:ascii="宋体" w:hAnsi="宋体" w:eastAsia="宋体" w:cs="宋体"/>
                <w:color w:val="auto"/>
                <w:sz w:val="24"/>
                <w:lang w:bidi="ar"/>
              </w:rPr>
              <w:t>月雨量占全年雨量的</w:t>
            </w:r>
            <w:r>
              <w:rPr>
                <w:rFonts w:ascii="Times New Roman" w:hAnsi="Times New Roman" w:eastAsia="宋体" w:cs="Times New Roman"/>
                <w:color w:val="auto"/>
                <w:sz w:val="24"/>
                <w:lang w:bidi="ar"/>
              </w:rPr>
              <w:t>52.3%</w:t>
            </w:r>
            <w:r>
              <w:rPr>
                <w:rFonts w:hint="eastAsia" w:ascii="宋体" w:hAnsi="宋体" w:eastAsia="宋体" w:cs="宋体"/>
                <w:color w:val="auto"/>
                <w:sz w:val="24"/>
                <w:lang w:bidi="ar"/>
              </w:rPr>
              <w:t>，年降水量年度间变幅较大，全年雨量分配也极度不平衡，多年平均降雨天数</w:t>
            </w:r>
            <w:r>
              <w:rPr>
                <w:rFonts w:ascii="Times New Roman" w:hAnsi="Times New Roman" w:eastAsia="宋体" w:cs="Times New Roman"/>
                <w:color w:val="auto"/>
                <w:sz w:val="24"/>
                <w:lang w:bidi="ar"/>
              </w:rPr>
              <w:t>120</w:t>
            </w:r>
            <w:r>
              <w:rPr>
                <w:rFonts w:hint="eastAsia" w:ascii="宋体" w:hAnsi="宋体" w:eastAsia="宋体" w:cs="宋体"/>
                <w:color w:val="auto"/>
                <w:sz w:val="24"/>
                <w:lang w:bidi="ar"/>
              </w:rPr>
              <w:t>天，年最大降水量</w:t>
            </w:r>
            <w:r>
              <w:rPr>
                <w:rFonts w:ascii="Times New Roman" w:hAnsi="Times New Roman" w:eastAsia="宋体" w:cs="Times New Roman"/>
                <w:color w:val="auto"/>
                <w:sz w:val="24"/>
                <w:lang w:bidi="ar"/>
              </w:rPr>
              <w:t>1888.3mm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1991</w:t>
            </w:r>
            <w:r>
              <w:rPr>
                <w:rFonts w:hint="eastAsia" w:ascii="宋体" w:hAnsi="宋体" w:eastAsia="宋体" w:cs="宋体"/>
                <w:color w:val="auto"/>
                <w:sz w:val="24"/>
                <w:lang w:bidi="ar"/>
              </w:rPr>
              <w:t>年），年最小降水量</w:t>
            </w:r>
            <w:r>
              <w:rPr>
                <w:rFonts w:ascii="Times New Roman" w:hAnsi="Times New Roman" w:eastAsia="宋体" w:cs="Times New Roman"/>
                <w:color w:val="auto"/>
                <w:sz w:val="24"/>
                <w:lang w:bidi="ar"/>
              </w:rPr>
              <w:t>515.4mm</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1924</w:t>
            </w:r>
            <w:r>
              <w:rPr>
                <w:rFonts w:hint="eastAsia" w:ascii="宋体" w:hAnsi="宋体" w:eastAsia="宋体" w:cs="宋体"/>
                <w:color w:val="auto"/>
                <w:sz w:val="24"/>
                <w:lang w:bidi="ar"/>
              </w:rPr>
              <w:t>年），多年平均水面蒸发量（小河站）为</w:t>
            </w:r>
            <w:r>
              <w:rPr>
                <w:rFonts w:ascii="Times New Roman" w:hAnsi="Times New Roman" w:eastAsia="宋体" w:cs="Times New Roman"/>
                <w:color w:val="auto"/>
                <w:sz w:val="24"/>
                <w:lang w:bidi="ar"/>
              </w:rPr>
              <w:t>916mm</w:t>
            </w:r>
            <w:r>
              <w:rPr>
                <w:rFonts w:hint="eastAsia" w:ascii="宋体" w:hAnsi="宋体" w:eastAsia="宋体" w:cs="宋体"/>
                <w:color w:val="auto"/>
                <w:sz w:val="24"/>
                <w:lang w:bidi="ar"/>
              </w:rPr>
              <w:t>，年平均最大风速</w:t>
            </w:r>
            <w:r>
              <w:rPr>
                <w:rFonts w:ascii="Times New Roman" w:hAnsi="Times New Roman" w:eastAsia="宋体" w:cs="Times New Roman"/>
                <w:color w:val="auto"/>
                <w:sz w:val="24"/>
                <w:lang w:bidi="ar"/>
              </w:rPr>
              <w:t>8.6m/s</w:t>
            </w:r>
            <w:r>
              <w:rPr>
                <w:rFonts w:hint="eastAsia" w:ascii="宋体" w:hAnsi="宋体" w:eastAsia="宋体" w:cs="宋体"/>
                <w:color w:val="auto"/>
                <w:sz w:val="24"/>
                <w:lang w:bidi="ar"/>
              </w:rPr>
              <w:t>，历年最大风速达</w:t>
            </w:r>
            <w:r>
              <w:rPr>
                <w:rFonts w:ascii="Times New Roman" w:hAnsi="Times New Roman" w:eastAsia="宋体" w:cs="Times New Roman"/>
                <w:color w:val="auto"/>
                <w:sz w:val="24"/>
                <w:lang w:bidi="ar"/>
              </w:rPr>
              <w:t>24m/s</w:t>
            </w:r>
            <w:r>
              <w:rPr>
                <w:rFonts w:hint="eastAsia" w:ascii="宋体" w:hAnsi="宋体" w:eastAsia="宋体" w:cs="宋体"/>
                <w:color w:val="auto"/>
                <w:sz w:val="24"/>
                <w:lang w:bidi="ar"/>
              </w:rPr>
              <w:t>，多年平均风速</w:t>
            </w:r>
            <w:r>
              <w:rPr>
                <w:rFonts w:ascii="Times New Roman" w:hAnsi="Times New Roman" w:eastAsia="宋体" w:cs="Times New Roman"/>
                <w:color w:val="auto"/>
                <w:sz w:val="24"/>
                <w:lang w:bidi="ar"/>
              </w:rPr>
              <w:t>2.6m/s</w:t>
            </w:r>
            <w:r>
              <w:rPr>
                <w:rFonts w:hint="eastAsia" w:ascii="宋体" w:hAnsi="宋体" w:eastAsia="宋体" w:cs="宋体"/>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水文：常州地区的河流属长江水系太湖平原水网区，北有长江，南有太湖和滆湖，京杭大运河由西向东斜贯中央，形成一个北引江水，汇流运河，南注两湖的自然水系。经济开发区内河网密布，纵横交错。现有大小河道约四十余条，河道总面积约为4</w:t>
            </w:r>
            <w:r>
              <w:rPr>
                <w:rFonts w:hint="eastAsia" w:ascii="宋体" w:hAnsi="宋体" w:eastAsia="宋体" w:cs="宋体"/>
                <w:color w:val="auto"/>
                <w:sz w:val="24"/>
                <w:lang w:bidi="ar"/>
              </w:rPr>
              <w:t>平方公里。流经经济开发区的主要河流有京杭运河、采菱港、武南河、湖塘河、长沟河、大通河、大庆河、龚巷河等。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本项目尾水排入</w:t>
            </w:r>
            <w:r>
              <w:rPr>
                <w:rFonts w:hint="eastAsia" w:ascii="Times New Roman" w:hAnsi="Times New Roman" w:eastAsia="宋体" w:cs="Times New Roman"/>
                <w:color w:val="auto"/>
                <w:sz w:val="24"/>
                <w:lang w:val="en-US" w:eastAsia="zh-CN"/>
              </w:rPr>
              <w:t>采菱港</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采菱港：北起京杭运河，东至武进港全长15km，为武进区主要支河之一，同时也是本项目废污水最终纳污河道，常年流向自北向南。采菱港平均河宽25m，丰水期河深3m，枯水期河深1.8m，河流为单向自北向南流，无河闸，根据《江苏省水环境功能区划》，水环境功能为工业用水区，水质目标Ⅳ类。</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bidi="ar"/>
              </w:rPr>
              <w:t>企业周边水系</w:t>
            </w:r>
            <w:r>
              <w:rPr>
                <w:rFonts w:ascii="Times New Roman" w:hAnsi="Times New Roman" w:eastAsia="宋体" w:cs="Times New Roman"/>
                <w:b/>
                <w:color w:val="auto"/>
                <w:sz w:val="24"/>
                <w:lang w:bidi="ar"/>
              </w:rPr>
              <w:t>及水质监测断面见附图</w:t>
            </w:r>
            <w:r>
              <w:rPr>
                <w:rFonts w:hint="eastAsia" w:ascii="Times New Roman" w:hAnsi="Times New Roman" w:eastAsia="宋体" w:cs="Times New Roman"/>
                <w:b/>
                <w:color w:val="auto"/>
                <w:sz w:val="24"/>
                <w:lang w:val="en-US" w:eastAsia="zh-CN" w:bidi="ar"/>
              </w:rPr>
              <w:t>5</w:t>
            </w:r>
            <w:r>
              <w:rPr>
                <w:rFonts w:ascii="Times New Roman" w:hAnsi="Times New Roman" w:eastAsia="宋体" w:cs="Times New Roman"/>
                <w:b/>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植被与生物多样性：项目所在地无需特殊保护的植物和古树名木，当地主要水生、陆生动植物品种丰富，生物多样性良好。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1" w:hRule="atLeast"/>
        </w:trPr>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hint="eastAsia" w:ascii="Times New Roman" w:hAnsi="Times New Roman" w:eastAsia="宋体" w:cs="Times New Roman"/>
                <w:b/>
                <w:color w:val="auto"/>
                <w:sz w:val="24"/>
                <w:lang w:bidi="ar"/>
              </w:rPr>
            </w:pPr>
            <w:r>
              <w:rPr>
                <w:rFonts w:hint="eastAsia" w:ascii="Times New Roman" w:hAnsi="Times New Roman" w:eastAsia="宋体" w:cs="Times New Roman"/>
                <w:b/>
                <w:color w:val="auto"/>
                <w:sz w:val="24"/>
                <w:lang w:bidi="ar"/>
              </w:rPr>
              <w:t>社会环境简况（社会经济结构、教育、文化、文物保护等）：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sz w:val="24"/>
              </w:rPr>
            </w:pPr>
            <w:r>
              <w:rPr>
                <w:sz w:val="24"/>
              </w:rPr>
              <w:t>1、嘉泽镇区用地规划</w:t>
            </w:r>
          </w:p>
          <w:p>
            <w:pPr>
              <w:spacing w:line="500" w:lineRule="exact"/>
              <w:ind w:firstLine="480" w:firstLineChars="200"/>
              <w:rPr>
                <w:sz w:val="24"/>
              </w:rPr>
            </w:pPr>
            <w:r>
              <w:rPr>
                <w:sz w:val="24"/>
              </w:rPr>
              <w:t>（1）规划范围</w:t>
            </w:r>
          </w:p>
          <w:p>
            <w:pPr>
              <w:spacing w:line="500" w:lineRule="exact"/>
              <w:ind w:firstLine="480" w:firstLineChars="200"/>
              <w:rPr>
                <w:sz w:val="24"/>
              </w:rPr>
            </w:pPr>
            <w:r>
              <w:rPr>
                <w:sz w:val="24"/>
              </w:rPr>
              <w:t>东至孟津河、南至沿江高速、西至花海大道、夏东路、镇域新边界，北至长虹路、延政西路北侧平行道路，规划总用地面积28.67平方公里。</w:t>
            </w:r>
          </w:p>
          <w:p>
            <w:pPr>
              <w:spacing w:line="500" w:lineRule="exact"/>
              <w:ind w:firstLine="480" w:firstLineChars="200"/>
              <w:rPr>
                <w:sz w:val="24"/>
              </w:rPr>
            </w:pPr>
            <w:r>
              <w:rPr>
                <w:sz w:val="24"/>
              </w:rPr>
              <w:t>（2）规划布局</w:t>
            </w:r>
          </w:p>
          <w:p>
            <w:pPr>
              <w:spacing w:line="500" w:lineRule="exact"/>
              <w:ind w:firstLine="480" w:firstLineChars="200"/>
              <w:rPr>
                <w:sz w:val="24"/>
              </w:rPr>
            </w:pPr>
            <w:r>
              <w:rPr>
                <w:sz w:val="24"/>
              </w:rPr>
              <w:t>镇区规划形成“两心两轴两区”的布局结构。</w:t>
            </w:r>
          </w:p>
          <w:p>
            <w:pPr>
              <w:spacing w:line="500" w:lineRule="exact"/>
              <w:ind w:firstLine="480" w:firstLineChars="200"/>
              <w:rPr>
                <w:sz w:val="24"/>
              </w:rPr>
            </w:pPr>
            <w:r>
              <w:rPr>
                <w:sz w:val="24"/>
              </w:rPr>
              <w:t>两心：延政西路南部、夏溪河两侧形成的指嘉泽镇旅游文化休闲服务中心，集行政办公、文化娱乐、商业金融、旅游服务为一体。延政西路北部的花木展销中心，以市场商贸物流为主体。</w:t>
            </w:r>
          </w:p>
          <w:p>
            <w:pPr>
              <w:spacing w:line="500" w:lineRule="exact"/>
              <w:ind w:firstLine="480" w:firstLineChars="200"/>
              <w:rPr>
                <w:sz w:val="24"/>
              </w:rPr>
            </w:pPr>
            <w:r>
              <w:rPr>
                <w:sz w:val="24"/>
              </w:rPr>
              <w:t>两轴：指依托规划南北向花海大道形成的花木展示轴，依托夏溪河、环湖北路、延政西路形成的旅游休闲轴兼景观展示轴。</w:t>
            </w:r>
          </w:p>
          <w:p>
            <w:pPr>
              <w:spacing w:line="500" w:lineRule="exact"/>
              <w:ind w:firstLine="480" w:firstLineChars="200"/>
              <w:rPr>
                <w:sz w:val="24"/>
              </w:rPr>
            </w:pPr>
            <w:r>
              <w:rPr>
                <w:sz w:val="24"/>
              </w:rPr>
              <w:t>六区：分别为西北部夏溪花木园艺展销区、东部花木博览区、北部花木创意商务区、中部花木特色生活区、西部精品花木展示区、南部姬山文化休闲区。</w:t>
            </w:r>
          </w:p>
          <w:p>
            <w:pPr>
              <w:spacing w:line="480" w:lineRule="exact"/>
              <w:ind w:firstLine="480" w:firstLineChars="200"/>
              <w:rPr>
                <w:snapToGrid w:val="0"/>
                <w:kern w:val="0"/>
                <w:sz w:val="24"/>
              </w:rPr>
            </w:pPr>
            <w:r>
              <w:rPr>
                <w:snapToGrid w:val="0"/>
                <w:kern w:val="0"/>
                <w:sz w:val="24"/>
              </w:rPr>
              <w:t>2、嘉泽镇基础设施现状与规划</w:t>
            </w:r>
          </w:p>
          <w:p>
            <w:pPr>
              <w:spacing w:line="480" w:lineRule="exact"/>
              <w:ind w:firstLine="480" w:firstLineChars="200"/>
              <w:rPr>
                <w:sz w:val="24"/>
              </w:rPr>
            </w:pPr>
            <w:r>
              <w:rPr>
                <w:sz w:val="24"/>
              </w:rPr>
              <w:t>（1）给水规划</w:t>
            </w:r>
          </w:p>
          <w:p>
            <w:pPr>
              <w:spacing w:line="480" w:lineRule="exact"/>
              <w:ind w:firstLine="480" w:firstLineChars="200"/>
              <w:rPr>
                <w:sz w:val="24"/>
              </w:rPr>
            </w:pPr>
            <w:r>
              <w:rPr>
                <w:sz w:val="24"/>
              </w:rPr>
              <w:t>水源：根据《武进区城市供水规划》，嘉泽镇生活用水由武进城市自来水厂统一供给；厚余增压站保留作为备用，规模6万m</w:t>
            </w:r>
            <w:r>
              <w:rPr>
                <w:sz w:val="24"/>
                <w:vertAlign w:val="superscript"/>
              </w:rPr>
              <w:t>3</w:t>
            </w:r>
            <w:r>
              <w:rPr>
                <w:sz w:val="24"/>
              </w:rPr>
              <w:t>/d。</w:t>
            </w:r>
          </w:p>
          <w:p>
            <w:pPr>
              <w:spacing w:line="480" w:lineRule="exact"/>
              <w:ind w:firstLine="480" w:firstLineChars="200"/>
              <w:rPr>
                <w:sz w:val="24"/>
              </w:rPr>
            </w:pPr>
            <w:r>
              <w:rPr>
                <w:sz w:val="24"/>
              </w:rPr>
              <w:t>管网：花海大道敷设DN600配水管与S239省道、延政路DN800管沟通，嘉成路（东湖大道至环湖西路）敷设DN600配水管与环湖西路DN1200输水管沟通确保嘉泽供水；其他道路敷设DN200至DN300配水管，形成环状输配水管网，保障供水安全。</w:t>
            </w:r>
          </w:p>
          <w:p>
            <w:pPr>
              <w:spacing w:line="480" w:lineRule="exact"/>
              <w:ind w:firstLine="480" w:firstLineChars="200"/>
              <w:rPr>
                <w:kern w:val="0"/>
                <w:sz w:val="24"/>
              </w:rPr>
            </w:pPr>
            <w:r>
              <w:rPr>
                <w:kern w:val="0"/>
                <w:sz w:val="24"/>
              </w:rPr>
              <w:t>（2）排水规划</w:t>
            </w:r>
          </w:p>
          <w:p>
            <w:pPr>
              <w:spacing w:line="480" w:lineRule="exact"/>
              <w:ind w:firstLine="480" w:firstLineChars="200"/>
              <w:rPr>
                <w:sz w:val="24"/>
              </w:rPr>
            </w:pPr>
            <w:r>
              <w:rPr>
                <w:sz w:val="24"/>
              </w:rPr>
              <w:t>规划采用雨污分流体制，雨水就近排入水体，污水按系统收集集中处理，生活污水进城市污水处理厂，工业废水一般情况下纳入城市污水系统，但接管前需达到污水处理厂的接管要求。</w:t>
            </w:r>
          </w:p>
          <w:p>
            <w:pPr>
              <w:spacing w:line="480" w:lineRule="exact"/>
              <w:ind w:firstLine="480" w:firstLineChars="200"/>
              <w:rPr>
                <w:sz w:val="24"/>
              </w:rPr>
            </w:pPr>
            <w:r>
              <w:rPr>
                <w:sz w:val="24"/>
              </w:rPr>
              <w:t>排水系统：嘉泽镇排水系统分为四个区。嘉泽镇区、夏溪集镇的污水通过延政西路的主干管排入武进城区污水处理厂；厚余集镇的污水通过长虹西路的主干管排入武进城区污水处理厂；成章集镇区的污水通过239省道的主干管将污水排入湟里镇污水处理厂。</w:t>
            </w:r>
          </w:p>
          <w:p>
            <w:pPr>
              <w:spacing w:line="480" w:lineRule="exact"/>
              <w:ind w:firstLine="480" w:firstLineChars="200"/>
              <w:rPr>
                <w:kern w:val="0"/>
                <w:sz w:val="24"/>
              </w:rPr>
            </w:pPr>
            <w:r>
              <w:rPr>
                <w:kern w:val="0"/>
                <w:sz w:val="24"/>
              </w:rPr>
              <w:t>本项目污水管网已建成，本项目废污水可通过常溧公路接管至武进城区污水处理厂集中处理。</w:t>
            </w:r>
          </w:p>
          <w:p>
            <w:pPr>
              <w:spacing w:line="480" w:lineRule="exact"/>
              <w:ind w:firstLine="480" w:firstLineChars="200"/>
              <w:rPr>
                <w:kern w:val="0"/>
                <w:sz w:val="24"/>
              </w:rPr>
            </w:pPr>
            <w:r>
              <w:rPr>
                <w:kern w:val="0"/>
                <w:sz w:val="24"/>
              </w:rPr>
              <w:t>（3）电力规划</w:t>
            </w:r>
          </w:p>
          <w:p>
            <w:pPr>
              <w:spacing w:line="480" w:lineRule="exact"/>
              <w:ind w:firstLine="480" w:firstLineChars="200"/>
              <w:rPr>
                <w:sz w:val="24"/>
              </w:rPr>
            </w:pPr>
            <w:r>
              <w:rPr>
                <w:sz w:val="24"/>
              </w:rPr>
              <w:t>预测远期2020年全镇域用电负荷为13万KVA；</w:t>
            </w:r>
          </w:p>
          <w:p>
            <w:pPr>
              <w:spacing w:line="480" w:lineRule="exact"/>
              <w:ind w:firstLine="480" w:firstLineChars="200"/>
              <w:rPr>
                <w:sz w:val="24"/>
              </w:rPr>
            </w:pPr>
            <w:r>
              <w:rPr>
                <w:sz w:val="24"/>
              </w:rPr>
              <w:t>镇域内由满墩220KV，110KV，成章35 KV变电站供电，电网电压等级采用110KV、35 /10KV、380/220V三级结构；</w:t>
            </w:r>
          </w:p>
          <w:p>
            <w:pPr>
              <w:spacing w:line="480" w:lineRule="exact"/>
              <w:ind w:firstLine="480" w:firstLineChars="200"/>
              <w:rPr>
                <w:sz w:val="24"/>
              </w:rPr>
            </w:pPr>
            <w:r>
              <w:rPr>
                <w:sz w:val="24"/>
              </w:rPr>
              <w:t>主变电容量：设备容载比以2.0计，32万KVA。</w:t>
            </w:r>
          </w:p>
          <w:p>
            <w:pPr>
              <w:spacing w:line="480" w:lineRule="exact"/>
              <w:ind w:firstLine="480" w:firstLineChars="200"/>
              <w:rPr>
                <w:sz w:val="24"/>
              </w:rPr>
            </w:pPr>
            <w:r>
              <w:rPr>
                <w:sz w:val="24"/>
              </w:rPr>
              <w:t>高压线沿规划道路架空布置；在新开发区域，争取以地下电缆埋设。高压配电网结构采用多回路加联络线式，远期应保证90%以上用户有两路、两变电站供电。</w:t>
            </w:r>
          </w:p>
          <w:p>
            <w:pPr>
              <w:spacing w:line="480" w:lineRule="exact"/>
              <w:ind w:firstLine="480" w:firstLineChars="200"/>
              <w:rPr>
                <w:sz w:val="24"/>
              </w:rPr>
            </w:pPr>
            <w:r>
              <w:rPr>
                <w:sz w:val="24"/>
              </w:rPr>
              <w:t>高压线路的改建或新建，一般沿规划道路，河流、绿带布置。</w:t>
            </w:r>
          </w:p>
          <w:p>
            <w:pPr>
              <w:spacing w:line="480" w:lineRule="exact"/>
              <w:ind w:firstLine="480" w:firstLineChars="200"/>
              <w:rPr>
                <w:sz w:val="24"/>
              </w:rPr>
            </w:pPr>
            <w:r>
              <w:rPr>
                <w:sz w:val="24"/>
              </w:rPr>
              <w:t>（4）燃气规划</w:t>
            </w:r>
          </w:p>
          <w:p>
            <w:pPr>
              <w:spacing w:line="480" w:lineRule="exact"/>
              <w:ind w:firstLine="480" w:firstLineChars="200"/>
              <w:rPr>
                <w:sz w:val="24"/>
              </w:rPr>
            </w:pPr>
            <w:r>
              <w:rPr>
                <w:sz w:val="24"/>
              </w:rPr>
              <w:t>气源：以天然气为主气源。</w:t>
            </w:r>
          </w:p>
          <w:p>
            <w:pPr>
              <w:spacing w:line="480" w:lineRule="exact"/>
              <w:ind w:firstLine="480" w:firstLineChars="200"/>
              <w:rPr>
                <w:sz w:val="24"/>
              </w:rPr>
            </w:pPr>
            <w:r>
              <w:rPr>
                <w:sz w:val="24"/>
              </w:rPr>
              <w:t>供气体制：供气压力采用高中低压三级制。由武进东尖门站出高压（2.5MPa）输气管道，并设置高中压调压站调压，工业园采用中压供气，用户调压供气，居住小区设区域中低调压站以低压管网供气。</w:t>
            </w:r>
          </w:p>
          <w:p>
            <w:pPr>
              <w:spacing w:line="480" w:lineRule="exact"/>
              <w:ind w:firstLine="480" w:firstLineChars="200"/>
              <w:rPr>
                <w:sz w:val="24"/>
              </w:rPr>
            </w:pPr>
            <w:r>
              <w:rPr>
                <w:sz w:val="24"/>
              </w:rPr>
              <w:t>供气管网：DN150高压管沿延政路、S239敷设；高中压调压站后DN200中压干管，主要沿延政路、S239、环湖西路、花海大道、嘉成路敷设。</w:t>
            </w:r>
          </w:p>
          <w:p>
            <w:pPr>
              <w:spacing w:line="480" w:lineRule="exact"/>
              <w:ind w:firstLine="480" w:firstLineChars="200"/>
              <w:rPr>
                <w:kern w:val="0"/>
                <w:sz w:val="24"/>
              </w:rPr>
            </w:pPr>
            <w:r>
              <w:rPr>
                <w:kern w:val="0"/>
                <w:sz w:val="24"/>
              </w:rPr>
              <w:t>（5）道路规划</w:t>
            </w:r>
          </w:p>
          <w:p>
            <w:pPr>
              <w:spacing w:line="360" w:lineRule="auto"/>
              <w:ind w:firstLine="480" w:firstLineChars="200"/>
              <w:rPr>
                <w:sz w:val="24"/>
              </w:rPr>
            </w:pPr>
            <w:r>
              <w:rPr>
                <w:sz w:val="24"/>
              </w:rPr>
              <w:t>道路网络网络系统规划：以延政西路、金武路及嘉成公路为东西向三横，以环湖西路、卜弋至湟里路(南部为239省道)以及规划的杜家村至夏庄南北向道路为南北向三纵，结合239省道与镇域南部高速公路，形成网格状道路沟通全镇，辅以支路链接城镇、农村居民点和旅游观光区，加强各功能区快速联系；并在旅游观光区内设休闲自行车专用道，提供安全、舒适、惬意的旅游健身场所。</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3</w:t>
            </w:r>
            <w:r>
              <w:rPr>
                <w:rFonts w:ascii="Times New Roman" w:hAnsi="Times New Roman" w:eastAsia="宋体" w:cs="Times New Roman"/>
                <w:b/>
                <w:color w:val="auto"/>
                <w:sz w:val="24"/>
                <w:lang w:bidi="ar"/>
              </w:rPr>
              <w:t>、当地环境功能区规划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根据《常州市环境空气质量功能区划分》（2017</w:t>
            </w:r>
            <w:r>
              <w:rPr>
                <w:rFonts w:hint="eastAsia" w:ascii="宋体" w:hAnsi="宋体" w:eastAsia="宋体" w:cs="宋体"/>
                <w:color w:val="auto"/>
                <w:sz w:val="24"/>
                <w:lang w:bidi="ar"/>
              </w:rPr>
              <w:t>），项目所在地执行《环境空气质量标准》（</w:t>
            </w:r>
            <w:r>
              <w:rPr>
                <w:rFonts w:ascii="Times New Roman" w:hAnsi="Times New Roman" w:eastAsia="宋体" w:cs="Times New Roman"/>
                <w:color w:val="auto"/>
                <w:sz w:val="24"/>
                <w:lang w:bidi="ar"/>
              </w:rPr>
              <w:t>GB3095-2012</w:t>
            </w:r>
            <w:r>
              <w:rPr>
                <w:rFonts w:hint="eastAsia" w:ascii="宋体" w:hAnsi="宋体" w:eastAsia="宋体" w:cs="宋体"/>
                <w:color w:val="auto"/>
                <w:sz w:val="24"/>
                <w:lang w:bidi="ar"/>
              </w:rPr>
              <w:t>）二级标准。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根据《常州市地表水（环境）功能区划》，</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水质执行《地表水环境质量标准》（GB3838-2002</w:t>
            </w:r>
            <w:r>
              <w:rPr>
                <w:rFonts w:hint="eastAsia" w:ascii="宋体" w:hAnsi="宋体" w:eastAsia="宋体" w:cs="宋体"/>
                <w:color w:val="auto"/>
                <w:sz w:val="24"/>
                <w:lang w:bidi="ar"/>
              </w:rPr>
              <w:t>）中</w:t>
            </w:r>
            <w:r>
              <w:rPr>
                <w:rFonts w:ascii="Times New Roman" w:hAnsi="Times New Roman" w:eastAsia="宋体" w:cs="Times New Roman"/>
                <w:color w:val="auto"/>
                <w:sz w:val="24"/>
                <w:lang w:bidi="ar"/>
              </w:rPr>
              <w:t>Ⅳ</w:t>
            </w:r>
            <w:r>
              <w:rPr>
                <w:rFonts w:hint="eastAsia" w:ascii="宋体" w:hAnsi="宋体" w:eastAsia="宋体" w:cs="宋体"/>
                <w:color w:val="auto"/>
                <w:sz w:val="24"/>
                <w:lang w:bidi="ar"/>
              </w:rPr>
              <w:t>类水质标准。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根据《常州市市区声环境功能区划（2017）》，</w:t>
            </w:r>
            <w:r>
              <w:rPr>
                <w:rFonts w:hint="eastAsia" w:ascii="宋体" w:hAnsi="宋体" w:eastAsia="宋体" w:cs="宋体"/>
                <w:color w:val="auto"/>
                <w:sz w:val="24"/>
                <w:lang w:bidi="ar"/>
              </w:rPr>
              <w:t>声功能区分类，项目所在地为</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类噪声功能区，执行《声环境噪声标准》（</w:t>
            </w:r>
            <w:r>
              <w:rPr>
                <w:rFonts w:ascii="Times New Roman" w:hAnsi="Times New Roman" w:eastAsia="宋体" w:cs="Times New Roman"/>
                <w:color w:val="auto"/>
                <w:sz w:val="24"/>
                <w:lang w:bidi="ar"/>
              </w:rPr>
              <w:t>GB3096-2008</w:t>
            </w:r>
            <w:r>
              <w:rPr>
                <w:rFonts w:hint="eastAsia" w:ascii="宋体" w:hAnsi="宋体" w:eastAsia="宋体" w:cs="宋体"/>
                <w:color w:val="auto"/>
                <w:sz w:val="24"/>
                <w:lang w:bidi="ar"/>
              </w:rPr>
              <w:t>）规定的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w:t>
            </w:r>
            <w:r>
              <w:rPr>
                <w:rFonts w:hint="eastAsia" w:ascii="Times New Roman" w:hAnsi="Times New Roman" w:eastAsia="宋体" w:cs="Times New Roman"/>
                <w:color w:val="auto"/>
                <w:sz w:val="24"/>
                <w:lang w:bidi="ar"/>
              </w:rPr>
              <w:t>标准</w:t>
            </w:r>
            <w:r>
              <w:rPr>
                <w:rFonts w:ascii="Times New Roman" w:hAnsi="Times New Roman" w:eastAsia="宋体" w:cs="Times New Roman"/>
                <w:color w:val="auto"/>
                <w:sz w:val="24"/>
                <w:lang w:bidi="ar"/>
              </w:rPr>
              <w:t>。</w:t>
            </w:r>
          </w:p>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4</w:t>
            </w:r>
            <w:r>
              <w:rPr>
                <w:rFonts w:ascii="Times New Roman" w:hAnsi="Times New Roman" w:eastAsia="宋体" w:cs="Times New Roman"/>
                <w:b/>
                <w:color w:val="auto"/>
                <w:sz w:val="24"/>
                <w:lang w:bidi="ar"/>
              </w:rPr>
              <w:t>、生态功能保护区区域规划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对照《江苏省生态红线区域保护规划》</w:t>
            </w:r>
            <w:r>
              <w:rPr>
                <w:rFonts w:hint="eastAsia" w:ascii="Times New Roman" w:hAnsi="Times New Roman" w:eastAsia="宋体" w:cs="Times New Roman"/>
                <w:color w:val="auto"/>
                <w:sz w:val="24"/>
                <w:lang w:bidi="ar"/>
              </w:rPr>
              <w:t>和《江苏省国家级生态保护红线规划》</w:t>
            </w:r>
            <w:r>
              <w:rPr>
                <w:rFonts w:ascii="Times New Roman" w:hAnsi="Times New Roman" w:eastAsia="宋体" w:cs="Times New Roman"/>
                <w:color w:val="auto"/>
                <w:sz w:val="24"/>
                <w:lang w:bidi="ar"/>
              </w:rPr>
              <w:t>，项目所在地附近生态红线区域名称、生态功能、红线区域范围情况见下表。</w:t>
            </w:r>
          </w:p>
          <w:p>
            <w:pPr>
              <w:pStyle w:val="26"/>
              <w:widowControl/>
              <w:rPr>
                <w:color w:val="auto"/>
              </w:rPr>
            </w:pPr>
            <w:r>
              <w:rPr>
                <w:color w:val="auto"/>
              </w:rPr>
              <w:t xml:space="preserve">表2-1  </w:t>
            </w:r>
            <w:r>
              <w:rPr>
                <w:rFonts w:hint="eastAsia"/>
                <w:color w:val="auto"/>
              </w:rPr>
              <w:t>常州市</w:t>
            </w:r>
            <w:r>
              <w:rPr>
                <w:color w:val="auto"/>
              </w:rPr>
              <w:t>生态红线区域名录</w:t>
            </w:r>
          </w:p>
          <w:tbl>
            <w:tblPr>
              <w:tblStyle w:val="15"/>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20"/>
              <w:gridCol w:w="1215"/>
              <w:gridCol w:w="1140"/>
              <w:gridCol w:w="2445"/>
              <w:gridCol w:w="82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b/>
                      <w:color w:val="auto"/>
                    </w:rPr>
                  </w:pPr>
                  <w:r>
                    <w:rPr>
                      <w:b/>
                      <w:color w:val="auto"/>
                    </w:rPr>
                    <w:t>地区</w:t>
                  </w:r>
                </w:p>
              </w:tc>
              <w:tc>
                <w:tcPr>
                  <w:tcW w:w="102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红线区域名称</w:t>
                  </w:r>
                </w:p>
              </w:tc>
              <w:tc>
                <w:tcPr>
                  <w:tcW w:w="12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主导生态功能</w:t>
                  </w:r>
                </w:p>
              </w:tc>
              <w:tc>
                <w:tcPr>
                  <w:tcW w:w="358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红线区域范围</w:t>
                  </w:r>
                </w:p>
              </w:tc>
              <w:tc>
                <w:tcPr>
                  <w:tcW w:w="82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方位</w:t>
                  </w:r>
                </w:p>
              </w:tc>
              <w:tc>
                <w:tcPr>
                  <w:tcW w:w="858"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距离（m</w:t>
                  </w:r>
                  <w:r>
                    <w:rPr>
                      <w:rFonts w:hint="eastAsia" w:ascii="宋体" w:hAnsi="宋体" w:cs="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215"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一级管控区</w:t>
                  </w:r>
                </w:p>
              </w:tc>
              <w:tc>
                <w:tcPr>
                  <w:tcW w:w="2445" w:type="dxa"/>
                  <w:tcBorders>
                    <w:top w:val="single" w:color="auto" w:sz="4" w:space="0"/>
                    <w:left w:val="nil"/>
                    <w:bottom w:val="single" w:color="auto" w:sz="4" w:space="0"/>
                    <w:right w:val="single" w:color="auto" w:sz="4" w:space="0"/>
                  </w:tcBorders>
                  <w:shd w:val="clear" w:color="auto" w:fill="auto"/>
                  <w:vAlign w:val="center"/>
                </w:tcPr>
                <w:p>
                  <w:pPr>
                    <w:pStyle w:val="23"/>
                    <w:widowControl/>
                    <w:rPr>
                      <w:b/>
                      <w:color w:val="auto"/>
                    </w:rPr>
                  </w:pPr>
                  <w:r>
                    <w:rPr>
                      <w:b/>
                      <w:color w:val="auto"/>
                    </w:rPr>
                    <w:t>二级管控区</w:t>
                  </w:r>
                </w:p>
              </w:tc>
              <w:tc>
                <w:tcPr>
                  <w:tcW w:w="825"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858"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rPr>
                      <w:color w:val="auto"/>
                    </w:rPr>
                  </w:pPr>
                  <w:r>
                    <w:rPr>
                      <w:rFonts w:hint="eastAsia"/>
                      <w:color w:val="auto"/>
                      <w:lang w:val="en-US" w:eastAsia="zh-CN"/>
                    </w:rPr>
                    <w:t>武进</w:t>
                  </w:r>
                  <w:r>
                    <w:rPr>
                      <w:color w:val="auto"/>
                    </w:rPr>
                    <w:t>区</w:t>
                  </w: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滆湖（武进区）重要湿地</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湿地生态系统保护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一级管控区为一级保护区，范围为：以取水口为中心，半径500米范围内的水域和陆域范围</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北到滆湖位于常州市西南，北到环湖大堤，东到环湖公路和20世纪70年代以前建设的圩堤，西到湟里河以北以孟津河西岸堤为界，湟里河</w:t>
                  </w:r>
                  <w:r>
                    <w:rPr>
                      <w:szCs w:val="21"/>
                    </w:rPr>
                    <w:cr/>
                  </w:r>
                  <w:r>
                    <w:rPr>
                      <w:szCs w:val="21"/>
                    </w:rPr>
                    <w:t>南与湖岸线平行，湖岸线向外约</w:t>
                  </w:r>
                  <w:r>
                    <w:rPr>
                      <w:szCs w:val="21"/>
                    </w:rPr>
                    <w:cr/>
                  </w:r>
                  <w:r>
                    <w:rPr>
                      <w:szCs w:val="21"/>
                    </w:rPr>
                    <w:t>00米为界，南到宜兴交界处</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SE</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滆湖饮用水水源保护区</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水源水质保护</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一级管控区为一级保护区，范围为：以取水口为中心，半径500米范围内的水域</w:t>
                  </w:r>
                </w:p>
              </w:tc>
              <w:tc>
                <w:tcPr>
                  <w:tcW w:w="244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Times New Roman" w:hAnsi="Times New Roman" w:eastAsia="宋体" w:cs="Times New Roman"/>
                      <w:color w:val="auto"/>
                      <w:szCs w:val="21"/>
                    </w:rPr>
                  </w:pPr>
                  <w:r>
                    <w:rPr>
                      <w:szCs w:val="21"/>
                    </w:rPr>
                    <w:t>二级管控区为二级保护区和准保护区，范围为：一级保护区外外延1000米范围的水域和陆域和二级保护区外外延1000米范围的水域和陆域</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SE</w:t>
                  </w:r>
                </w:p>
              </w:tc>
              <w:tc>
                <w:tcPr>
                  <w:tcW w:w="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7350</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本项目最近距《江苏省生态红线区域保护规划》中常州市生态红线区域保护区——</w:t>
            </w:r>
            <w:r>
              <w:rPr>
                <w:rFonts w:hint="eastAsia" w:ascii="宋体" w:hAnsi="宋体" w:eastAsia="宋体" w:cs="宋体"/>
                <w:color w:val="auto"/>
                <w:sz w:val="24"/>
                <w:lang w:bidi="ar"/>
              </w:rPr>
              <w:t>滆湖（武进区）重要湿地二级管控区内约</w:t>
            </w:r>
            <w:r>
              <w:rPr>
                <w:rFonts w:hint="eastAsia" w:ascii="Times New Roman" w:hAnsi="Times New Roman" w:eastAsia="宋体" w:cs="Times New Roman"/>
                <w:color w:val="auto"/>
                <w:sz w:val="24"/>
                <w:lang w:val="en-US" w:eastAsia="zh-CN" w:bidi="ar"/>
              </w:rPr>
              <w:t>3.75</w:t>
            </w:r>
            <w:r>
              <w:rPr>
                <w:rFonts w:ascii="Times New Roman" w:hAnsi="Times New Roman" w:eastAsia="宋体" w:cs="Times New Roman"/>
                <w:color w:val="auto"/>
                <w:sz w:val="24"/>
                <w:lang w:bidi="ar"/>
              </w:rPr>
              <w:t>km</w:t>
            </w:r>
            <w:r>
              <w:rPr>
                <w:rFonts w:hint="eastAsia" w:ascii="宋体" w:hAnsi="宋体" w:eastAsia="宋体" w:cs="宋体"/>
                <w:color w:val="auto"/>
                <w:sz w:val="24"/>
                <w:lang w:bidi="ar"/>
              </w:rPr>
              <w:t>，项目不在滆湖（武进区）重要湿地二级管控区内，且不属于湿地生态系统保护二级管控区禁止活动内容。</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常州市生态红线区域分布图见附图</w:t>
            </w:r>
            <w:r>
              <w:rPr>
                <w:rFonts w:hint="eastAsia" w:ascii="Times New Roman" w:hAnsi="Times New Roman" w:eastAsia="宋体" w:cs="Times New Roman"/>
                <w:b/>
                <w:color w:val="auto"/>
                <w:sz w:val="24"/>
                <w:lang w:bidi="ar"/>
              </w:rPr>
              <w:t>6</w:t>
            </w:r>
            <w:r>
              <w:rPr>
                <w:rFonts w:ascii="Times New Roman" w:hAnsi="Times New Roman" w:eastAsia="宋体" w:cs="Times New Roman"/>
                <w:b/>
                <w:color w:val="auto"/>
                <w:sz w:val="24"/>
                <w:lang w:bidi="ar"/>
              </w:rPr>
              <w:t>。</w:t>
            </w:r>
          </w:p>
        </w:tc>
      </w:tr>
    </w:tbl>
    <w:p>
      <w:pPr>
        <w:rPr>
          <w:rFonts w:ascii="Times New Roman" w:hAnsi="Times New Roman" w:eastAsia="宋体" w:cs="Times New Roman"/>
          <w:b/>
          <w:color w:val="auto"/>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环境质量状况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after="156" w:afterLines="5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建设项目所在地区域环境质量现状及主要环境问题（环境空气、地面水、地下水、声环境、辐射环境、生态环境等）</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、环境空气质量现状</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）区域达标判定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Times New Roman"/>
                <w:color w:val="auto"/>
                <w:sz w:val="24"/>
              </w:rPr>
            </w:pPr>
            <w:r>
              <w:rPr>
                <w:rFonts w:hint="eastAsia" w:ascii="宋体" w:hAnsi="宋体" w:eastAsia="宋体" w:cs="Times New Roman"/>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color w:val="auto"/>
                <w:sz w:val="24"/>
              </w:rPr>
            </w:pPr>
            <w:r>
              <w:rPr>
                <w:rFonts w:hint="eastAsia" w:ascii="宋体" w:hAnsi="宋体" w:eastAsia="宋体" w:cs="Times New Roman"/>
                <w:color w:val="auto"/>
                <w:sz w:val="24"/>
                <w:lang w:bidi="ar"/>
              </w:rPr>
              <w:t>本次评价选取2017年作为评价基准年，根据《常州市2017年环境质量公报》，项目所在区域常州市各评价因子数据见下表。</w:t>
            </w:r>
          </w:p>
          <w:p>
            <w:pPr>
              <w:spacing w:line="360" w:lineRule="auto"/>
              <w:ind w:firstLine="482" w:firstLineChars="200"/>
              <w:jc w:val="center"/>
              <w:rPr>
                <w:rFonts w:ascii="Times New Roman" w:hAnsi="Times New Roman" w:eastAsia="宋体" w:cs="Times New Roman"/>
                <w:b/>
                <w:color w:val="auto"/>
                <w:sz w:val="24"/>
                <w:vertAlign w:val="superscript"/>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bidi="ar"/>
              </w:rPr>
              <w:t>1</w:t>
            </w:r>
            <w:r>
              <w:rPr>
                <w:rFonts w:ascii="Times New Roman" w:hAnsi="Times New Roman" w:eastAsia="宋体" w:cs="Times New Roman"/>
                <w:b/>
                <w:color w:val="auto"/>
                <w:sz w:val="24"/>
                <w:lang w:bidi="ar"/>
              </w:rPr>
              <w:t>大气环境质量监测统计结果</w:t>
            </w:r>
            <w:r>
              <w:rPr>
                <w:rFonts w:hint="eastAsia" w:ascii="Times New Roman" w:hAnsi="Times New Roman" w:eastAsia="宋体" w:cs="Times New Roman"/>
                <w:b/>
                <w:color w:val="auto"/>
                <w:sz w:val="24"/>
                <w:lang w:bidi="ar"/>
              </w:rPr>
              <w:t xml:space="preserve">  </w:t>
            </w:r>
            <w:r>
              <w:rPr>
                <w:rFonts w:ascii="Times New Roman" w:hAnsi="Times New Roman" w:eastAsia="宋体" w:cs="Times New Roman"/>
                <w:b/>
                <w:color w:val="auto"/>
                <w:sz w:val="24"/>
                <w:lang w:bidi="ar"/>
              </w:rPr>
              <w:t>单位：</w:t>
            </w:r>
            <w:r>
              <w:rPr>
                <w:rFonts w:hint="eastAsia" w:ascii="Times New Roman" w:hAnsi="Times New Roman" w:eastAsia="宋体" w:cs="Times New Roman"/>
                <w:b/>
                <w:color w:val="auto"/>
                <w:sz w:val="24"/>
                <w:lang w:bidi="ar"/>
              </w:rPr>
              <w:t>u</w:t>
            </w:r>
            <w:r>
              <w:rPr>
                <w:rFonts w:ascii="Times New Roman" w:hAnsi="Times New Roman" w:eastAsia="宋体" w:cs="Times New Roman"/>
                <w:b/>
                <w:color w:val="auto"/>
                <w:sz w:val="24"/>
                <w:lang w:bidi="ar"/>
              </w:rPr>
              <w:t>g/m</w:t>
            </w:r>
            <w:r>
              <w:rPr>
                <w:rFonts w:ascii="Times New Roman" w:hAnsi="Times New Roman" w:eastAsia="宋体" w:cs="Times New Roman"/>
                <w:b/>
                <w:color w:val="auto"/>
                <w:sz w:val="24"/>
                <w:vertAlign w:val="superscript"/>
                <w:lang w:bidi="ar"/>
              </w:rPr>
              <w:t>3</w:t>
            </w:r>
          </w:p>
          <w:tbl>
            <w:tblPr>
              <w:tblStyle w:val="15"/>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57"/>
              <w:gridCol w:w="1766"/>
              <w:gridCol w:w="1277"/>
              <w:gridCol w:w="124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污染物</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年评价指标</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ind w:left="210" w:hanging="210" w:hangingChars="10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现状浓度</w:t>
                  </w:r>
                </w:p>
                <w:p>
                  <w:pPr>
                    <w:adjustRightInd w:val="0"/>
                    <w:snapToGrid w:val="0"/>
                    <w:spacing w:line="320" w:lineRule="atLeast"/>
                    <w:ind w:left="210" w:hanging="210" w:hangingChars="10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（μg/m</w:t>
                  </w:r>
                  <w:r>
                    <w:rPr>
                      <w:rFonts w:hint="eastAsia" w:asciiTheme="minorEastAsia" w:hAnsiTheme="minorEastAsia" w:eastAsiaTheme="minorEastAsia" w:cstheme="minorEastAsia"/>
                      <w:color w:val="auto"/>
                      <w:szCs w:val="21"/>
                      <w:vertAlign w:val="superscript"/>
                      <w:lang w:bidi="ar"/>
                    </w:rPr>
                    <w:t>3</w:t>
                  </w:r>
                  <w:r>
                    <w:rPr>
                      <w:rFonts w:hint="eastAsia" w:asciiTheme="minorEastAsia" w:hAnsiTheme="minorEastAsia" w:eastAsiaTheme="minorEastAsia" w:cstheme="minorEastAsia"/>
                      <w:color w:val="auto"/>
                      <w:szCs w:val="21"/>
                      <w:lang w:bidi="ar"/>
                    </w:rPr>
                    <w:t>）</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标准值</w:t>
                  </w:r>
                </w:p>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（μg/m</w:t>
                  </w:r>
                  <w:r>
                    <w:rPr>
                      <w:rFonts w:hint="eastAsia" w:asciiTheme="minorEastAsia" w:hAnsiTheme="minorEastAsia" w:eastAsiaTheme="minorEastAsia" w:cstheme="minorEastAsia"/>
                      <w:color w:val="auto"/>
                      <w:szCs w:val="21"/>
                      <w:vertAlign w:val="superscript"/>
                      <w:lang w:bidi="ar"/>
                    </w:rPr>
                    <w:t>3</w:t>
                  </w:r>
                  <w:r>
                    <w:rPr>
                      <w:rFonts w:hint="eastAsia" w:asciiTheme="minorEastAsia" w:hAnsiTheme="minorEastAsia" w:eastAsiaTheme="minorEastAsia" w:cstheme="minorEastAsia"/>
                      <w:color w:val="auto"/>
                      <w:szCs w:val="21"/>
                      <w:lang w:bidi="ar"/>
                    </w:rPr>
                    <w:t>）</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占标率</w:t>
                  </w:r>
                </w:p>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SO</w:t>
                  </w:r>
                  <w:r>
                    <w:rPr>
                      <w:rFonts w:hint="eastAsia" w:asciiTheme="minorEastAsia" w:hAnsiTheme="minorEastAsia" w:eastAsiaTheme="minorEastAsia" w:cs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28.33</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NO</w:t>
                  </w:r>
                  <w:r>
                    <w:rPr>
                      <w:rFonts w:hint="eastAsia" w:asciiTheme="minorEastAsia" w:hAnsiTheme="minorEastAsia" w:eastAsiaTheme="minorEastAsia" w:cstheme="minorEastAsia"/>
                      <w:color w:val="auto"/>
                      <w:szCs w:val="21"/>
                      <w:vertAlign w:val="subscript"/>
                      <w:lang w:bidi="ar"/>
                    </w:rPr>
                    <w:t>2</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41</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102.50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CO</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百分位数日平均质量浓度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1500（24小时平均第95百分位数）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4000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37.50</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O</w:t>
                  </w:r>
                  <w:r>
                    <w:rPr>
                      <w:rFonts w:hint="eastAsia" w:asciiTheme="minorEastAsia" w:hAnsiTheme="minorEastAsia" w:eastAsiaTheme="minorEastAsia" w:cstheme="minorEastAsia"/>
                      <w:color w:val="auto"/>
                      <w:szCs w:val="21"/>
                      <w:vertAlign w:val="subscript"/>
                      <w:lang w:bidi="ar"/>
                    </w:rPr>
                    <w:t>3</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8小时平均质量浓度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170（日最大8小时滑动平均值的第90百分位数）</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160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106.25</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PM</w:t>
                  </w:r>
                  <w:r>
                    <w:rPr>
                      <w:rFonts w:hint="eastAsia" w:asciiTheme="minorEastAsia" w:hAnsiTheme="minorEastAsia" w:eastAsiaTheme="minorEastAsia" w:cstheme="minorEastAsia"/>
                      <w:color w:val="auto"/>
                      <w:szCs w:val="21"/>
                      <w:vertAlign w:val="subscript"/>
                      <w:lang w:bidi="ar"/>
                    </w:rPr>
                    <w:t>10</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73</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70</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104.29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PM</w:t>
                  </w:r>
                  <w:r>
                    <w:rPr>
                      <w:rFonts w:hint="eastAsia" w:asciiTheme="minorEastAsia" w:hAnsiTheme="minorEastAsia" w:eastAsiaTheme="minorEastAsia" w:cstheme="minorEastAsia"/>
                      <w:color w:val="auto"/>
                      <w:szCs w:val="21"/>
                      <w:vertAlign w:val="subscript"/>
                      <w:lang w:bidi="ar"/>
                    </w:rPr>
                    <w:t>2.5</w:t>
                  </w:r>
                </w:p>
              </w:tc>
              <w:tc>
                <w:tcPr>
                  <w:tcW w:w="175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年平均质量浓度</w:t>
                  </w:r>
                </w:p>
              </w:tc>
              <w:tc>
                <w:tcPr>
                  <w:tcW w:w="1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47</w:t>
                  </w:r>
                </w:p>
              </w:tc>
              <w:tc>
                <w:tcPr>
                  <w:tcW w:w="12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35</w:t>
                  </w:r>
                </w:p>
              </w:tc>
              <w:tc>
                <w:tcPr>
                  <w:tcW w:w="12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134.29</w:t>
                  </w:r>
                </w:p>
              </w:tc>
              <w:tc>
                <w:tcPr>
                  <w:tcW w:w="115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atLeas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bidi="ar"/>
                    </w:rPr>
                    <w:t>不达标</w:t>
                  </w:r>
                </w:p>
              </w:tc>
            </w:tr>
          </w:tbl>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Times New Roman"/>
                <w:color w:val="auto"/>
                <w:sz w:val="24"/>
                <w:lang w:bidi="ar"/>
              </w:rPr>
              <w:t>2017年常州市环境空气中二氧化硫年均值和一氧化碳24小时平均值均达到环境空气质量二级标准；二氧化氮、</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10</w:t>
            </w:r>
            <w:r>
              <w:rPr>
                <w:rFonts w:hint="eastAsia" w:ascii="宋体" w:hAnsi="宋体" w:eastAsia="宋体" w:cs="Times New Roman"/>
                <w:color w:val="auto"/>
                <w:sz w:val="24"/>
                <w:lang w:bidi="ar"/>
              </w:rPr>
              <w:t>、</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2.5</w:t>
            </w:r>
            <w:r>
              <w:rPr>
                <w:rFonts w:hint="eastAsia" w:ascii="宋体" w:hAnsi="宋体" w:eastAsia="宋体" w:cs="Times New Roman"/>
                <w:color w:val="auto"/>
                <w:sz w:val="24"/>
                <w:lang w:bidi="ar"/>
              </w:rPr>
              <w:t>年均值和臭氧日最大8小时滑动均值均超过环境空气质量二级标准，常州市2017年环境空气质量不达标，因此判定为非达标区。</w:t>
            </w:r>
          </w:p>
          <w:p>
            <w:pPr>
              <w:pStyle w:val="6"/>
              <w:spacing w:line="480" w:lineRule="exact"/>
              <w:ind w:firstLine="480" w:firstLineChars="200"/>
              <w:rPr>
                <w:rFonts w:hint="default" w:ascii="Times New Roman" w:hAnsi="Times New Roman"/>
                <w:color w:val="auto"/>
                <w:sz w:val="24"/>
                <w:szCs w:val="24"/>
              </w:rPr>
            </w:pPr>
            <w:r>
              <w:rPr>
                <w:color w:val="auto"/>
                <w:sz w:val="24"/>
                <w:szCs w:val="24"/>
              </w:rPr>
              <w:t>（</w:t>
            </w:r>
            <w:r>
              <w:rPr>
                <w:rFonts w:hint="eastAsia"/>
                <w:color w:val="auto"/>
                <w:sz w:val="24"/>
                <w:szCs w:val="24"/>
                <w:lang w:val="en-US" w:eastAsia="zh-CN"/>
              </w:rPr>
              <w:t>2</w:t>
            </w:r>
            <w:r>
              <w:rPr>
                <w:color w:val="auto"/>
                <w:sz w:val="24"/>
                <w:szCs w:val="24"/>
              </w:rPr>
              <w:t>）</w:t>
            </w:r>
            <w:r>
              <w:rPr>
                <w:rFonts w:ascii="Times New Roman" w:hAnsi="Times New Roman"/>
                <w:color w:val="auto"/>
                <w:sz w:val="24"/>
                <w:szCs w:val="24"/>
              </w:rPr>
              <w:t>区域削减</w:t>
            </w:r>
          </w:p>
          <w:p>
            <w:pPr>
              <w:spacing w:line="360" w:lineRule="auto"/>
              <w:ind w:firstLine="480" w:firstLineChars="200"/>
              <w:rPr>
                <w:rFonts w:ascii="Times New Roman" w:hAnsi="Times New Roman" w:eastAsia="宋体" w:cs="Times New Roman"/>
                <w:b/>
                <w:color w:val="auto"/>
                <w:sz w:val="24"/>
                <w:highlight w:val="yellow"/>
              </w:rPr>
            </w:pPr>
            <w:r>
              <w:rPr>
                <w:rFonts w:hint="eastAsia" w:ascii="Times New Roman" w:hAnsi="宋体" w:eastAsia="宋体" w:cs="Times New Roman"/>
                <w:color w:val="auto"/>
                <w:sz w:val="24"/>
                <w:lang w:bidi="ar"/>
              </w:rPr>
              <w:t>为切实做好</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年大气污染防治工作，改善全市空气环境质量，中共常州市委、常州市人民政府印发了《常州市</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大气污染防治攻坚行动方案》，提出的工作内容包括降低燃煤消耗量、对工业企业采取强制减排措施、加强工业烟气污染治理、实施颗粒物无组织排放深度整治、全面排查与达标排放、扎实推进重点行业挥发性有机物（</w:t>
            </w:r>
            <w:r>
              <w:rPr>
                <w:rFonts w:ascii="Times New Roman" w:hAnsi="Times New Roman" w:eastAsia="宋体" w:cs="Times New Roman"/>
                <w:color w:val="auto"/>
                <w:sz w:val="24"/>
                <w:lang w:bidi="ar"/>
              </w:rPr>
              <w:t>V</w:t>
            </w:r>
            <w:r>
              <w:rPr>
                <w:rFonts w:ascii="Times New Roman" w:hAnsi="宋体" w:eastAsia="宋体" w:cs="Times New Roman"/>
                <w:color w:val="auto"/>
                <w:sz w:val="24"/>
                <w:lang w:bidi="ar"/>
              </w:rPr>
              <w:t>OC</w:t>
            </w:r>
            <w:r>
              <w:rPr>
                <w:rFonts w:hint="eastAsia" w:ascii="Times New Roman" w:hAnsi="宋体" w:eastAsia="宋体" w:cs="Times New Roman"/>
                <w:color w:val="auto"/>
                <w:sz w:val="24"/>
                <w:lang w:bidi="ar"/>
              </w:rPr>
              <w:t>s</w:t>
            </w:r>
            <w:r>
              <w:rPr>
                <w:rFonts w:hint="eastAsia" w:ascii="宋体" w:hAnsi="宋体" w:eastAsia="宋体" w:cs="宋体"/>
                <w:color w:val="auto"/>
                <w:sz w:val="24"/>
                <w:lang w:bidi="ar"/>
              </w:rPr>
              <w:t>）治理、提高城市管理水平、加强移动源污染防治、加大产业结构调整力度等。工作目标为</w:t>
            </w:r>
            <w:r>
              <w:rPr>
                <w:rFonts w:ascii="Times New Roman" w:hAnsi="Times New Roman" w:eastAsia="宋体" w:cs="Times New Roman"/>
                <w:color w:val="auto"/>
                <w:sz w:val="24"/>
                <w:lang w:bidi="ar"/>
              </w:rPr>
              <w:t>6-12</w:t>
            </w:r>
            <w:r>
              <w:rPr>
                <w:rFonts w:hint="eastAsia" w:ascii="宋体" w:hAnsi="宋体" w:eastAsia="宋体" w:cs="宋体"/>
                <w:color w:val="auto"/>
                <w:sz w:val="24"/>
                <w:lang w:bidi="ar"/>
              </w:rPr>
              <w:t>月全市主要污染物平均减排比例不低于</w:t>
            </w:r>
            <w:r>
              <w:rPr>
                <w:rFonts w:ascii="Times New Roman" w:hAnsi="Times New Roman" w:eastAsia="宋体" w:cs="Times New Roman"/>
                <w:color w:val="auto"/>
                <w:sz w:val="24"/>
                <w:lang w:bidi="ar"/>
              </w:rPr>
              <w:t>43%</w:t>
            </w:r>
            <w:r>
              <w:rPr>
                <w:rFonts w:hint="eastAsia" w:ascii="宋体" w:hAnsi="宋体" w:eastAsia="宋体" w:cs="宋体"/>
                <w:color w:val="auto"/>
                <w:sz w:val="24"/>
                <w:lang w:bidi="ar"/>
              </w:rPr>
              <w:t>，到</w:t>
            </w:r>
            <w:r>
              <w:rPr>
                <w:rFonts w:ascii="Times New Roman" w:hAnsi="Times New Roman" w:eastAsia="宋体" w:cs="Times New Roman"/>
                <w:color w:val="auto"/>
                <w:sz w:val="24"/>
                <w:lang w:bidi="ar"/>
              </w:rPr>
              <w:t>2018</w:t>
            </w:r>
            <w:r>
              <w:rPr>
                <w:rFonts w:hint="eastAsia" w:ascii="宋体" w:hAnsi="宋体" w:eastAsia="宋体" w:cs="宋体"/>
                <w:color w:val="auto"/>
                <w:sz w:val="24"/>
                <w:lang w:bidi="ar"/>
              </w:rPr>
              <w:t>年底，市区空气质量二级以上优良天数比例达到</w:t>
            </w:r>
            <w:r>
              <w:rPr>
                <w:rFonts w:ascii="Times New Roman" w:hAnsi="Times New Roman" w:eastAsia="宋体" w:cs="Times New Roman"/>
                <w:color w:val="auto"/>
                <w:sz w:val="24"/>
                <w:lang w:bidi="ar"/>
              </w:rPr>
              <w:t>69.7%</w:t>
            </w:r>
            <w:r>
              <w:rPr>
                <w:rFonts w:hint="eastAsia" w:ascii="宋体" w:hAnsi="宋体" w:eastAsia="宋体" w:cs="宋体"/>
                <w:color w:val="auto"/>
                <w:sz w:val="24"/>
                <w:lang w:bidi="ar"/>
              </w:rPr>
              <w:t>以上，</w:t>
            </w:r>
            <w:r>
              <w:rPr>
                <w:rFonts w:ascii="Times New Roman" w:hAnsi="Times New Roman" w:eastAsia="宋体" w:cs="Times New Roman"/>
                <w:color w:val="auto"/>
                <w:sz w:val="24"/>
                <w:lang w:bidi="ar"/>
              </w:rPr>
              <w:t>P</w:t>
            </w:r>
            <w:r>
              <w:rPr>
                <w:rFonts w:ascii="Times New Roman" w:hAnsi="宋体" w:eastAsia="宋体" w:cs="Times New Roman"/>
                <w:color w:val="auto"/>
                <w:sz w:val="24"/>
                <w:lang w:bidi="ar"/>
              </w:rPr>
              <w:t>M</w:t>
            </w:r>
            <w:r>
              <w:rPr>
                <w:rFonts w:hint="eastAsia" w:ascii="Times New Roman" w:hAnsi="宋体" w:eastAsia="宋体" w:cs="Times New Roman"/>
                <w:color w:val="auto"/>
                <w:sz w:val="24"/>
                <w:lang w:bidi="ar"/>
              </w:rPr>
              <w:t>2.5</w:t>
            </w:r>
            <w:r>
              <w:rPr>
                <w:rFonts w:hint="eastAsia" w:ascii="宋体" w:hAnsi="宋体" w:eastAsia="宋体" w:cs="宋体"/>
                <w:color w:val="auto"/>
                <w:sz w:val="24"/>
                <w:lang w:bidi="ar"/>
              </w:rPr>
              <w:t>年均浓度控制在</w:t>
            </w:r>
            <w:r>
              <w:rPr>
                <w:rFonts w:ascii="Times New Roman" w:hAnsi="Times New Roman" w:eastAsia="宋体" w:cs="Times New Roman"/>
                <w:color w:val="auto"/>
                <w:sz w:val="24"/>
                <w:lang w:bidi="ar"/>
              </w:rPr>
              <w:t>47</w:t>
            </w:r>
            <w:r>
              <w:rPr>
                <w:rFonts w:hint="eastAsia" w:ascii="宋体" w:hAnsi="宋体" w:eastAsia="宋体" w:cs="宋体"/>
                <w:color w:val="auto"/>
                <w:sz w:val="24"/>
                <w:lang w:bidi="ar"/>
              </w:rPr>
              <w:t>微克</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立方米以下。</w:t>
            </w:r>
          </w:p>
          <w:p>
            <w:pPr>
              <w:spacing w:line="480" w:lineRule="exact"/>
              <w:ind w:firstLine="480" w:firstLineChars="200"/>
              <w:rPr>
                <w:sz w:val="24"/>
              </w:rPr>
            </w:pPr>
            <w:r>
              <w:rPr>
                <w:kern w:val="0"/>
                <w:sz w:val="24"/>
              </w:rPr>
              <w:t>（</w:t>
            </w:r>
            <w:r>
              <w:rPr>
                <w:rFonts w:hint="eastAsia"/>
                <w:kern w:val="0"/>
                <w:sz w:val="24"/>
                <w:lang w:val="en-US" w:eastAsia="zh-CN"/>
              </w:rPr>
              <w:t>3</w:t>
            </w:r>
            <w:r>
              <w:rPr>
                <w:kern w:val="0"/>
                <w:sz w:val="24"/>
              </w:rPr>
              <w:t>）基本污染物环境质量现状评价</w:t>
            </w:r>
          </w:p>
          <w:p>
            <w:pPr>
              <w:spacing w:line="480" w:lineRule="exact"/>
              <w:ind w:firstLine="480" w:firstLineChars="200"/>
              <w:rPr>
                <w:sz w:val="24"/>
              </w:rPr>
            </w:pPr>
            <w:r>
              <w:rPr>
                <w:sz w:val="24"/>
              </w:rPr>
              <w:t>本次环境空气质量现状布设1个引用点位，G1引用《常州华晨微弧科技有限公司新建年产10万平方米压铸铝镁合金表面处理、150台套设备加工项目》中</w:t>
            </w:r>
            <w:r>
              <w:rPr>
                <w:kern w:val="0"/>
                <w:sz w:val="24"/>
              </w:rPr>
              <w:t>常州佳蓝环境检测有限公司2018年2月3日-2月9日在新庄的监测数据</w:t>
            </w:r>
            <w:r>
              <w:rPr>
                <w:sz w:val="24"/>
              </w:rPr>
              <w:t>。</w:t>
            </w:r>
          </w:p>
          <w:p>
            <w:pPr>
              <w:pStyle w:val="2"/>
              <w:spacing w:after="0" w:line="480" w:lineRule="exact"/>
              <w:ind w:firstLine="482" w:firstLineChars="200"/>
              <w:rPr>
                <w:sz w:val="24"/>
              </w:rPr>
            </w:pPr>
            <w:r>
              <w:rPr>
                <w:sz w:val="24"/>
              </w:rPr>
              <w:t>引用数据有效性分析：</w:t>
            </w:r>
            <w:r>
              <w:rPr>
                <w:sz w:val="24"/>
              </w:rPr>
              <w:fldChar w:fldCharType="begin"/>
            </w:r>
            <w:r>
              <w:rPr>
                <w:sz w:val="24"/>
              </w:rPr>
              <w:instrText xml:space="preserve"> = 1 \* GB3 \* MERGEFORMAT </w:instrText>
            </w:r>
            <w:r>
              <w:rPr>
                <w:sz w:val="24"/>
              </w:rPr>
              <w:fldChar w:fldCharType="separate"/>
            </w:r>
            <w:r>
              <w:rPr>
                <w:rFonts w:hint="eastAsia" w:ascii="宋体" w:hAnsi="宋体" w:cs="宋体"/>
                <w:sz w:val="24"/>
              </w:rPr>
              <w:t>①</w:t>
            </w:r>
            <w:r>
              <w:rPr>
                <w:sz w:val="24"/>
              </w:rPr>
              <w:fldChar w:fldCharType="end"/>
            </w:r>
            <w:r>
              <w:rPr>
                <w:sz w:val="24"/>
              </w:rPr>
              <w:t>根据《环境影响评价技术导则 大气环境》可知，大气引用数据三年内有效，于</w:t>
            </w:r>
            <w:r>
              <w:rPr>
                <w:kern w:val="0"/>
                <w:sz w:val="24"/>
              </w:rPr>
              <w:t>2018年2月3日-2月9日</w:t>
            </w:r>
            <w:r>
              <w:rPr>
                <w:sz w:val="24"/>
              </w:rPr>
              <w:t>检测空气质量现状，引用时间不超过3年，大气引用时间有效；</w:t>
            </w:r>
            <w:r>
              <w:rPr>
                <w:sz w:val="24"/>
              </w:rPr>
              <w:fldChar w:fldCharType="begin"/>
            </w:r>
            <w:r>
              <w:rPr>
                <w:sz w:val="24"/>
              </w:rPr>
              <w:instrText xml:space="preserve"> = 2 \* GB3 \* MERGEFORMAT </w:instrText>
            </w:r>
            <w:r>
              <w:rPr>
                <w:sz w:val="24"/>
              </w:rPr>
              <w:fldChar w:fldCharType="separate"/>
            </w:r>
            <w:r>
              <w:rPr>
                <w:rFonts w:hint="eastAsia" w:ascii="宋体" w:hAnsi="宋体" w:cs="宋体"/>
                <w:sz w:val="24"/>
              </w:rPr>
              <w:t>②</w:t>
            </w:r>
            <w:r>
              <w:rPr>
                <w:sz w:val="24"/>
              </w:rPr>
              <w:fldChar w:fldCharType="end"/>
            </w:r>
            <w:r>
              <w:rPr>
                <w:sz w:val="24"/>
              </w:rPr>
              <w:t>项目所在区域内污染源未发生重大变化，可引用3年内大气检测数据；</w:t>
            </w:r>
            <w:r>
              <w:rPr>
                <w:sz w:val="24"/>
              </w:rPr>
              <w:fldChar w:fldCharType="begin"/>
            </w:r>
            <w:r>
              <w:rPr>
                <w:sz w:val="24"/>
              </w:rPr>
              <w:instrText xml:space="preserve"> = 3 \* GB3 \* MERGEFORMAT </w:instrText>
            </w:r>
            <w:r>
              <w:rPr>
                <w:sz w:val="24"/>
              </w:rPr>
              <w:fldChar w:fldCharType="separate"/>
            </w:r>
            <w:r>
              <w:rPr>
                <w:rFonts w:hint="eastAsia" w:ascii="宋体" w:hAnsi="宋体" w:cs="宋体"/>
                <w:sz w:val="24"/>
              </w:rPr>
              <w:t>③</w:t>
            </w:r>
            <w:r>
              <w:rPr>
                <w:sz w:val="24"/>
              </w:rPr>
              <w:fldChar w:fldCharType="end"/>
            </w:r>
            <w:r>
              <w:rPr>
                <w:sz w:val="24"/>
              </w:rPr>
              <w:t>引用点位在项目相关评价范围内，因此大气引用点位有效。</w:t>
            </w:r>
          </w:p>
          <w:p>
            <w:pPr>
              <w:tabs>
                <w:tab w:val="left" w:pos="2160"/>
              </w:tabs>
              <w:spacing w:line="480" w:lineRule="exact"/>
              <w:ind w:firstLine="480" w:firstLineChars="200"/>
              <w:rPr>
                <w:sz w:val="24"/>
              </w:rPr>
            </w:pPr>
            <w:r>
              <w:rPr>
                <w:sz w:val="24"/>
              </w:rPr>
              <w:t>引用点位具体位置见表3-</w:t>
            </w:r>
            <w:r>
              <w:rPr>
                <w:rFonts w:hint="eastAsia"/>
                <w:sz w:val="24"/>
              </w:rPr>
              <w:t>2</w:t>
            </w:r>
            <w:r>
              <w:rPr>
                <w:sz w:val="24"/>
              </w:rPr>
              <w:t>，监测结果汇总表见表3-</w:t>
            </w:r>
            <w:r>
              <w:rPr>
                <w:rFonts w:hint="eastAsia"/>
                <w:sz w:val="24"/>
              </w:rPr>
              <w:t>3</w:t>
            </w:r>
            <w:r>
              <w:rPr>
                <w:sz w:val="24"/>
              </w:rPr>
              <w:t>。</w:t>
            </w:r>
          </w:p>
          <w:p>
            <w:pPr>
              <w:spacing w:line="480" w:lineRule="exact"/>
              <w:jc w:val="center"/>
              <w:rPr>
                <w:b/>
                <w:bCs/>
                <w:sz w:val="24"/>
              </w:rPr>
            </w:pPr>
            <w:r>
              <w:rPr>
                <w:b/>
                <w:bCs/>
                <w:sz w:val="24"/>
              </w:rPr>
              <w:t>表3-</w:t>
            </w:r>
            <w:r>
              <w:rPr>
                <w:rFonts w:hint="eastAsia"/>
                <w:b/>
                <w:bCs/>
                <w:sz w:val="24"/>
              </w:rPr>
              <w:t>2</w:t>
            </w:r>
            <w:r>
              <w:rPr>
                <w:b/>
                <w:bCs/>
                <w:sz w:val="24"/>
              </w:rPr>
              <w:t xml:space="preserve">  大气环境质量引用点位一览表</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012"/>
              <w:gridCol w:w="729"/>
              <w:gridCol w:w="907"/>
              <w:gridCol w:w="1644"/>
              <w:gridCol w:w="1384"/>
              <w:gridCol w:w="9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5" w:type="dxa"/>
                  <w:tcBorders>
                    <w:top w:val="single" w:color="auto" w:sz="12" w:space="0"/>
                    <w:bottom w:val="single" w:color="auto" w:sz="4" w:space="0"/>
                  </w:tcBorders>
                  <w:vAlign w:val="center"/>
                </w:tcPr>
                <w:p>
                  <w:pPr>
                    <w:snapToGrid w:val="0"/>
                    <w:jc w:val="center"/>
                    <w:rPr>
                      <w:b/>
                      <w:bCs/>
                      <w:szCs w:val="21"/>
                    </w:rPr>
                  </w:pPr>
                  <w:r>
                    <w:rPr>
                      <w:b/>
                      <w:bCs/>
                      <w:szCs w:val="21"/>
                    </w:rPr>
                    <w:t>点位</w:t>
                  </w:r>
                </w:p>
              </w:tc>
              <w:tc>
                <w:tcPr>
                  <w:tcW w:w="2012" w:type="dxa"/>
                  <w:tcBorders>
                    <w:top w:val="single" w:color="auto" w:sz="12" w:space="0"/>
                    <w:bottom w:val="single" w:color="auto" w:sz="4" w:space="0"/>
                  </w:tcBorders>
                  <w:vAlign w:val="center"/>
                </w:tcPr>
                <w:p>
                  <w:pPr>
                    <w:snapToGrid w:val="0"/>
                    <w:jc w:val="center"/>
                    <w:rPr>
                      <w:b/>
                      <w:bCs/>
                      <w:szCs w:val="21"/>
                    </w:rPr>
                  </w:pPr>
                  <w:r>
                    <w:rPr>
                      <w:b/>
                      <w:bCs/>
                      <w:szCs w:val="21"/>
                    </w:rPr>
                    <w:t>名称</w:t>
                  </w:r>
                </w:p>
              </w:tc>
              <w:tc>
                <w:tcPr>
                  <w:tcW w:w="729" w:type="dxa"/>
                  <w:tcBorders>
                    <w:top w:val="single" w:color="auto" w:sz="12" w:space="0"/>
                    <w:bottom w:val="single" w:color="auto" w:sz="4" w:space="0"/>
                  </w:tcBorders>
                  <w:vAlign w:val="center"/>
                </w:tcPr>
                <w:p>
                  <w:pPr>
                    <w:snapToGrid w:val="0"/>
                    <w:jc w:val="center"/>
                    <w:rPr>
                      <w:b/>
                      <w:bCs/>
                      <w:szCs w:val="21"/>
                    </w:rPr>
                  </w:pPr>
                  <w:r>
                    <w:rPr>
                      <w:b/>
                      <w:bCs/>
                      <w:szCs w:val="21"/>
                    </w:rPr>
                    <w:t>方位</w:t>
                  </w:r>
                </w:p>
              </w:tc>
              <w:tc>
                <w:tcPr>
                  <w:tcW w:w="907" w:type="dxa"/>
                  <w:tcBorders>
                    <w:top w:val="single" w:color="auto" w:sz="12" w:space="0"/>
                    <w:bottom w:val="single" w:color="auto" w:sz="4" w:space="0"/>
                  </w:tcBorders>
                  <w:vAlign w:val="center"/>
                </w:tcPr>
                <w:p>
                  <w:pPr>
                    <w:snapToGrid w:val="0"/>
                    <w:jc w:val="center"/>
                    <w:rPr>
                      <w:b/>
                      <w:bCs/>
                      <w:szCs w:val="21"/>
                    </w:rPr>
                  </w:pPr>
                  <w:r>
                    <w:rPr>
                      <w:b/>
                      <w:bCs/>
                      <w:szCs w:val="21"/>
                    </w:rPr>
                    <w:t>距离</w:t>
                  </w:r>
                </w:p>
              </w:tc>
              <w:tc>
                <w:tcPr>
                  <w:tcW w:w="1644" w:type="dxa"/>
                  <w:tcBorders>
                    <w:top w:val="single" w:color="auto" w:sz="12" w:space="0"/>
                    <w:bottom w:val="single" w:color="auto" w:sz="4" w:space="0"/>
                  </w:tcBorders>
                  <w:vAlign w:val="center"/>
                </w:tcPr>
                <w:p>
                  <w:pPr>
                    <w:snapToGrid w:val="0"/>
                    <w:jc w:val="center"/>
                    <w:rPr>
                      <w:b/>
                      <w:bCs/>
                      <w:szCs w:val="21"/>
                    </w:rPr>
                  </w:pPr>
                  <w:r>
                    <w:rPr>
                      <w:b/>
                      <w:bCs/>
                      <w:szCs w:val="21"/>
                    </w:rPr>
                    <w:t>引用项目</w:t>
                  </w:r>
                </w:p>
              </w:tc>
              <w:tc>
                <w:tcPr>
                  <w:tcW w:w="1384" w:type="dxa"/>
                  <w:tcBorders>
                    <w:top w:val="single" w:color="auto" w:sz="12" w:space="0"/>
                    <w:bottom w:val="single" w:color="auto" w:sz="4" w:space="0"/>
                  </w:tcBorders>
                  <w:vAlign w:val="center"/>
                </w:tcPr>
                <w:p>
                  <w:pPr>
                    <w:snapToGrid w:val="0"/>
                    <w:jc w:val="center"/>
                    <w:rPr>
                      <w:b/>
                      <w:bCs/>
                      <w:szCs w:val="21"/>
                    </w:rPr>
                  </w:pPr>
                  <w:r>
                    <w:rPr>
                      <w:b/>
                      <w:bCs/>
                      <w:szCs w:val="21"/>
                    </w:rPr>
                    <w:t>所在环境功能</w:t>
                  </w:r>
                </w:p>
              </w:tc>
              <w:tc>
                <w:tcPr>
                  <w:tcW w:w="921" w:type="dxa"/>
                  <w:tcBorders>
                    <w:top w:val="single" w:color="auto" w:sz="12" w:space="0"/>
                    <w:bottom w:val="single" w:color="auto" w:sz="4" w:space="0"/>
                  </w:tcBorders>
                  <w:vAlign w:val="center"/>
                </w:tcPr>
                <w:p>
                  <w:pPr>
                    <w:snapToGrid w:val="0"/>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15" w:type="dxa"/>
                  <w:tcBorders>
                    <w:top w:val="single" w:color="auto" w:sz="4" w:space="0"/>
                    <w:bottom w:val="single" w:color="auto" w:sz="4" w:space="0"/>
                  </w:tcBorders>
                  <w:vAlign w:val="center"/>
                </w:tcPr>
                <w:p>
                  <w:pPr>
                    <w:snapToGrid w:val="0"/>
                    <w:jc w:val="center"/>
                    <w:rPr>
                      <w:szCs w:val="21"/>
                    </w:rPr>
                  </w:pPr>
                  <w:r>
                    <w:rPr>
                      <w:szCs w:val="21"/>
                    </w:rPr>
                    <w:t>G1</w:t>
                  </w:r>
                </w:p>
              </w:tc>
              <w:tc>
                <w:tcPr>
                  <w:tcW w:w="2012" w:type="dxa"/>
                  <w:tcBorders>
                    <w:top w:val="single" w:color="auto" w:sz="4" w:space="0"/>
                    <w:bottom w:val="single" w:color="auto" w:sz="4" w:space="0"/>
                  </w:tcBorders>
                  <w:vAlign w:val="center"/>
                </w:tcPr>
                <w:p>
                  <w:pPr>
                    <w:snapToGrid w:val="0"/>
                    <w:jc w:val="center"/>
                    <w:rPr>
                      <w:szCs w:val="21"/>
                    </w:rPr>
                  </w:pPr>
                  <w:r>
                    <w:rPr>
                      <w:szCs w:val="21"/>
                    </w:rPr>
                    <w:t>新庄</w:t>
                  </w:r>
                </w:p>
              </w:tc>
              <w:tc>
                <w:tcPr>
                  <w:tcW w:w="729" w:type="dxa"/>
                  <w:tcBorders>
                    <w:top w:val="single" w:color="auto" w:sz="4" w:space="0"/>
                    <w:bottom w:val="single" w:color="auto" w:sz="4" w:space="0"/>
                  </w:tcBorders>
                  <w:vAlign w:val="center"/>
                </w:tcPr>
                <w:p>
                  <w:pPr>
                    <w:snapToGrid w:val="0"/>
                    <w:jc w:val="center"/>
                    <w:rPr>
                      <w:szCs w:val="21"/>
                    </w:rPr>
                  </w:pPr>
                  <w:r>
                    <w:rPr>
                      <w:szCs w:val="21"/>
                      <w:lang w:bidi="ar"/>
                    </w:rPr>
                    <w:t>NE</w:t>
                  </w:r>
                </w:p>
              </w:tc>
              <w:tc>
                <w:tcPr>
                  <w:tcW w:w="907" w:type="dxa"/>
                  <w:tcBorders>
                    <w:top w:val="single" w:color="auto" w:sz="4" w:space="0"/>
                    <w:bottom w:val="single" w:color="auto" w:sz="4" w:space="0"/>
                  </w:tcBorders>
                  <w:vAlign w:val="center"/>
                </w:tcPr>
                <w:p>
                  <w:pPr>
                    <w:snapToGrid w:val="0"/>
                    <w:jc w:val="center"/>
                    <w:rPr>
                      <w:szCs w:val="21"/>
                    </w:rPr>
                  </w:pPr>
                  <w:r>
                    <w:rPr>
                      <w:szCs w:val="21"/>
                      <w:lang w:bidi="ar"/>
                    </w:rPr>
                    <w:t>427</w:t>
                  </w:r>
                </w:p>
              </w:tc>
              <w:tc>
                <w:tcPr>
                  <w:tcW w:w="1644" w:type="dxa"/>
                  <w:tcBorders>
                    <w:top w:val="single" w:color="auto" w:sz="4" w:space="0"/>
                  </w:tcBorders>
                  <w:vAlign w:val="center"/>
                </w:tcPr>
                <w:p>
                  <w:pPr>
                    <w:snapToGrid w:val="0"/>
                    <w:jc w:val="center"/>
                    <w:rPr>
                      <w:szCs w:val="21"/>
                    </w:rPr>
                  </w:pPr>
                  <w:r>
                    <w:rPr>
                      <w:szCs w:val="21"/>
                    </w:rPr>
                    <w:t>SO</w:t>
                  </w:r>
                  <w:r>
                    <w:rPr>
                      <w:szCs w:val="21"/>
                      <w:vertAlign w:val="subscript"/>
                    </w:rPr>
                    <w:t>2</w:t>
                  </w:r>
                  <w:r>
                    <w:rPr>
                      <w:szCs w:val="21"/>
                    </w:rPr>
                    <w:t>、NO</w:t>
                  </w:r>
                  <w:r>
                    <w:rPr>
                      <w:szCs w:val="21"/>
                      <w:vertAlign w:val="subscript"/>
                    </w:rPr>
                    <w:t>2</w:t>
                  </w:r>
                  <w:r>
                    <w:rPr>
                      <w:szCs w:val="21"/>
                    </w:rPr>
                    <w:t>、PM</w:t>
                  </w:r>
                  <w:r>
                    <w:rPr>
                      <w:szCs w:val="21"/>
                      <w:vertAlign w:val="subscript"/>
                    </w:rPr>
                    <w:t>10</w:t>
                  </w:r>
                  <w:r>
                    <w:rPr>
                      <w:szCs w:val="21"/>
                    </w:rPr>
                    <w:t>、非甲烷总烃</w:t>
                  </w:r>
                </w:p>
              </w:tc>
              <w:tc>
                <w:tcPr>
                  <w:tcW w:w="1384" w:type="dxa"/>
                  <w:tcBorders>
                    <w:top w:val="single" w:color="auto" w:sz="4" w:space="0"/>
                  </w:tcBorders>
                  <w:vAlign w:val="center"/>
                </w:tcPr>
                <w:p>
                  <w:pPr>
                    <w:snapToGrid w:val="0"/>
                    <w:jc w:val="center"/>
                    <w:rPr>
                      <w:szCs w:val="21"/>
                    </w:rPr>
                  </w:pPr>
                  <w:r>
                    <w:rPr>
                      <w:szCs w:val="21"/>
                    </w:rPr>
                    <w:t>二类</w:t>
                  </w:r>
                </w:p>
              </w:tc>
              <w:tc>
                <w:tcPr>
                  <w:tcW w:w="921" w:type="dxa"/>
                  <w:tcBorders>
                    <w:top w:val="single" w:color="auto" w:sz="4" w:space="0"/>
                  </w:tcBorders>
                  <w:vAlign w:val="center"/>
                </w:tcPr>
                <w:p>
                  <w:pPr>
                    <w:snapToGrid w:val="0"/>
                    <w:jc w:val="center"/>
                    <w:rPr>
                      <w:szCs w:val="21"/>
                    </w:rPr>
                  </w:pPr>
                  <w:r>
                    <w:rPr>
                      <w:szCs w:val="21"/>
                    </w:rPr>
                    <w:t>引用点</w:t>
                  </w:r>
                </w:p>
              </w:tc>
            </w:tr>
          </w:tbl>
          <w:p>
            <w:pPr>
              <w:spacing w:line="400" w:lineRule="exact"/>
              <w:jc w:val="center"/>
              <w:rPr>
                <w:b/>
                <w:sz w:val="24"/>
              </w:rPr>
            </w:pPr>
            <w:r>
              <w:rPr>
                <w:b/>
                <w:sz w:val="24"/>
              </w:rPr>
              <w:t>表3-</w:t>
            </w:r>
            <w:r>
              <w:rPr>
                <w:rFonts w:hint="eastAsia"/>
                <w:b/>
                <w:sz w:val="24"/>
              </w:rPr>
              <w:t>3</w:t>
            </w:r>
            <w:r>
              <w:rPr>
                <w:b/>
                <w:sz w:val="24"/>
              </w:rPr>
              <w:t xml:space="preserve">  监测结果汇总表 mg/m</w:t>
            </w:r>
            <w:r>
              <w:rPr>
                <w:b/>
                <w:sz w:val="24"/>
                <w:vertAlign w:val="superscript"/>
              </w:rPr>
              <w:t>3</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58"/>
              <w:gridCol w:w="1482"/>
              <w:gridCol w:w="821"/>
              <w:gridCol w:w="833"/>
              <w:gridCol w:w="1418"/>
              <w:gridCol w:w="834"/>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restart"/>
                  <w:vAlign w:val="center"/>
                </w:tcPr>
                <w:p>
                  <w:pPr>
                    <w:spacing w:line="320" w:lineRule="exact"/>
                    <w:jc w:val="center"/>
                    <w:rPr>
                      <w:b/>
                      <w:szCs w:val="21"/>
                    </w:rPr>
                  </w:pPr>
                  <w:r>
                    <w:rPr>
                      <w:b/>
                      <w:szCs w:val="21"/>
                    </w:rPr>
                    <w:t>测点</w:t>
                  </w:r>
                </w:p>
                <w:p>
                  <w:pPr>
                    <w:spacing w:line="320" w:lineRule="exact"/>
                    <w:jc w:val="center"/>
                    <w:rPr>
                      <w:b/>
                      <w:szCs w:val="21"/>
                    </w:rPr>
                  </w:pPr>
                  <w:r>
                    <w:rPr>
                      <w:b/>
                      <w:szCs w:val="21"/>
                    </w:rPr>
                    <w:t>编号</w:t>
                  </w:r>
                </w:p>
              </w:tc>
              <w:tc>
                <w:tcPr>
                  <w:tcW w:w="1358" w:type="dxa"/>
                  <w:vMerge w:val="restart"/>
                  <w:vAlign w:val="center"/>
                </w:tcPr>
                <w:p>
                  <w:pPr>
                    <w:spacing w:line="320" w:lineRule="exact"/>
                    <w:jc w:val="center"/>
                    <w:rPr>
                      <w:b/>
                      <w:szCs w:val="21"/>
                    </w:rPr>
                  </w:pPr>
                  <w:r>
                    <w:rPr>
                      <w:b/>
                      <w:szCs w:val="21"/>
                    </w:rPr>
                    <w:t>污染物</w:t>
                  </w:r>
                </w:p>
                <w:p>
                  <w:pPr>
                    <w:spacing w:line="320" w:lineRule="exact"/>
                    <w:jc w:val="center"/>
                    <w:rPr>
                      <w:b/>
                      <w:szCs w:val="21"/>
                    </w:rPr>
                  </w:pPr>
                  <w:r>
                    <w:rPr>
                      <w:b/>
                      <w:szCs w:val="21"/>
                    </w:rPr>
                    <w:t>名称</w:t>
                  </w:r>
                </w:p>
              </w:tc>
              <w:tc>
                <w:tcPr>
                  <w:tcW w:w="3136" w:type="dxa"/>
                  <w:gridSpan w:val="3"/>
                  <w:vAlign w:val="center"/>
                </w:tcPr>
                <w:p>
                  <w:pPr>
                    <w:spacing w:line="320" w:lineRule="exact"/>
                    <w:jc w:val="center"/>
                    <w:rPr>
                      <w:b/>
                      <w:szCs w:val="21"/>
                    </w:rPr>
                  </w:pPr>
                  <w:r>
                    <w:rPr>
                      <w:b/>
                      <w:szCs w:val="21"/>
                    </w:rPr>
                    <w:t>小时浓度</w:t>
                  </w:r>
                </w:p>
              </w:tc>
              <w:tc>
                <w:tcPr>
                  <w:tcW w:w="3108" w:type="dxa"/>
                  <w:gridSpan w:val="3"/>
                  <w:vAlign w:val="center"/>
                </w:tcPr>
                <w:p>
                  <w:pPr>
                    <w:spacing w:line="320" w:lineRule="exact"/>
                    <w:jc w:val="center"/>
                    <w:rPr>
                      <w:b/>
                      <w:szCs w:val="21"/>
                    </w:rPr>
                  </w:pPr>
                  <w:r>
                    <w:rPr>
                      <w:b/>
                      <w:szCs w:val="21"/>
                    </w:rPr>
                    <w:t>日均浓度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continue"/>
                  <w:vAlign w:val="center"/>
                </w:tcPr>
                <w:p>
                  <w:pPr>
                    <w:spacing w:line="320" w:lineRule="exact"/>
                    <w:jc w:val="center"/>
                    <w:rPr>
                      <w:b/>
                      <w:szCs w:val="21"/>
                    </w:rPr>
                  </w:pPr>
                </w:p>
              </w:tc>
              <w:tc>
                <w:tcPr>
                  <w:tcW w:w="1358" w:type="dxa"/>
                  <w:vMerge w:val="continue"/>
                  <w:vAlign w:val="center"/>
                </w:tcPr>
                <w:p>
                  <w:pPr>
                    <w:spacing w:line="320" w:lineRule="exact"/>
                    <w:jc w:val="center"/>
                    <w:rPr>
                      <w:b/>
                      <w:szCs w:val="21"/>
                    </w:rPr>
                  </w:pPr>
                </w:p>
              </w:tc>
              <w:tc>
                <w:tcPr>
                  <w:tcW w:w="1482" w:type="dxa"/>
                  <w:vAlign w:val="center"/>
                </w:tcPr>
                <w:p>
                  <w:pPr>
                    <w:spacing w:line="320" w:lineRule="exact"/>
                    <w:jc w:val="center"/>
                    <w:rPr>
                      <w:b/>
                      <w:szCs w:val="21"/>
                    </w:rPr>
                  </w:pPr>
                  <w:r>
                    <w:rPr>
                      <w:b/>
                      <w:szCs w:val="21"/>
                    </w:rPr>
                    <w:t>实测值</w:t>
                  </w:r>
                </w:p>
              </w:tc>
              <w:tc>
                <w:tcPr>
                  <w:tcW w:w="821" w:type="dxa"/>
                  <w:vAlign w:val="center"/>
                </w:tcPr>
                <w:p>
                  <w:pPr>
                    <w:spacing w:line="320" w:lineRule="exact"/>
                    <w:jc w:val="center"/>
                    <w:rPr>
                      <w:b/>
                      <w:szCs w:val="21"/>
                    </w:rPr>
                  </w:pPr>
                  <w:r>
                    <w:rPr>
                      <w:b/>
                      <w:szCs w:val="21"/>
                    </w:rPr>
                    <w:t>标</w:t>
                  </w:r>
                  <w:r>
                    <w:rPr>
                      <w:b/>
                      <w:szCs w:val="21"/>
                    </w:rPr>
                    <w:cr/>
                  </w:r>
                </w:p>
              </w:tc>
              <w:tc>
                <w:tcPr>
                  <w:tcW w:w="833" w:type="dxa"/>
                  <w:vAlign w:val="center"/>
                </w:tcPr>
                <w:p>
                  <w:pPr>
                    <w:spacing w:line="320" w:lineRule="exact"/>
                    <w:jc w:val="center"/>
                    <w:rPr>
                      <w:b/>
                      <w:szCs w:val="21"/>
                    </w:rPr>
                  </w:pPr>
                  <w:r>
                    <w:rPr>
                      <w:b/>
                      <w:szCs w:val="21"/>
                    </w:rPr>
                    <w:t>超标率</w:t>
                  </w:r>
                </w:p>
              </w:tc>
              <w:tc>
                <w:tcPr>
                  <w:tcW w:w="1418" w:type="dxa"/>
                  <w:vAlign w:val="center"/>
                </w:tcPr>
                <w:p>
                  <w:pPr>
                    <w:spacing w:line="320" w:lineRule="exact"/>
                    <w:jc w:val="center"/>
                    <w:rPr>
                      <w:b/>
                      <w:szCs w:val="21"/>
                    </w:rPr>
                  </w:pPr>
                  <w:r>
                    <w:rPr>
                      <w:b/>
                      <w:szCs w:val="21"/>
                    </w:rPr>
                    <w:t>实测值</w:t>
                  </w:r>
                </w:p>
              </w:tc>
              <w:tc>
                <w:tcPr>
                  <w:tcW w:w="834" w:type="dxa"/>
                  <w:vAlign w:val="center"/>
                </w:tcPr>
                <w:p>
                  <w:pPr>
                    <w:spacing w:line="320" w:lineRule="exact"/>
                    <w:jc w:val="center"/>
                    <w:rPr>
                      <w:b/>
                      <w:szCs w:val="21"/>
                    </w:rPr>
                  </w:pPr>
                  <w:r>
                    <w:rPr>
                      <w:b/>
                      <w:szCs w:val="21"/>
                    </w:rPr>
                    <w:t>标准</w:t>
                  </w:r>
                </w:p>
              </w:tc>
              <w:tc>
                <w:tcPr>
                  <w:tcW w:w="856" w:type="dxa"/>
                  <w:vAlign w:val="center"/>
                </w:tcPr>
                <w:p>
                  <w:pPr>
                    <w:spacing w:line="320" w:lineRule="exact"/>
                    <w:jc w:val="center"/>
                    <w:rPr>
                      <w:b/>
                      <w:szCs w:val="21"/>
                    </w:rPr>
                  </w:pPr>
                  <w:r>
                    <w:rPr>
                      <w:b/>
                      <w:szCs w:val="21"/>
                    </w:rPr>
                    <w:t>超标率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restart"/>
                  <w:vAlign w:val="center"/>
                </w:tcPr>
                <w:p>
                  <w:pPr>
                    <w:spacing w:line="320" w:lineRule="exact"/>
                    <w:jc w:val="center"/>
                    <w:rPr>
                      <w:bCs/>
                      <w:szCs w:val="21"/>
                    </w:rPr>
                  </w:pPr>
                  <w:r>
                    <w:rPr>
                      <w:bCs/>
                      <w:szCs w:val="21"/>
                    </w:rPr>
                    <w:t>G1</w:t>
                  </w:r>
                </w:p>
              </w:tc>
              <w:tc>
                <w:tcPr>
                  <w:tcW w:w="1358" w:type="dxa"/>
                  <w:vAlign w:val="center"/>
                </w:tcPr>
                <w:p>
                  <w:pPr>
                    <w:spacing w:line="320" w:lineRule="exact"/>
                    <w:jc w:val="center"/>
                    <w:rPr>
                      <w:bCs/>
                      <w:szCs w:val="21"/>
                    </w:rPr>
                  </w:pPr>
                  <w:r>
                    <w:rPr>
                      <w:bCs/>
                      <w:szCs w:val="21"/>
                    </w:rPr>
                    <w:t>SO</w:t>
                  </w:r>
                  <w:r>
                    <w:rPr>
                      <w:bCs/>
                      <w:szCs w:val="21"/>
                      <w:vertAlign w:val="subscript"/>
                    </w:rPr>
                    <w:t>2</w:t>
                  </w:r>
                </w:p>
              </w:tc>
              <w:tc>
                <w:tcPr>
                  <w:tcW w:w="1482" w:type="dxa"/>
                  <w:vAlign w:val="center"/>
                </w:tcPr>
                <w:p>
                  <w:pPr>
                    <w:spacing w:line="280" w:lineRule="exact"/>
                    <w:jc w:val="center"/>
                    <w:rPr>
                      <w:bCs/>
                      <w:szCs w:val="21"/>
                      <w:highlight w:val="yellow"/>
                    </w:rPr>
                  </w:pPr>
                  <w:r>
                    <w:rPr>
                      <w:szCs w:val="21"/>
                    </w:rPr>
                    <w:t>0.029~0.040</w:t>
                  </w:r>
                </w:p>
              </w:tc>
              <w:tc>
                <w:tcPr>
                  <w:tcW w:w="821" w:type="dxa"/>
                  <w:vAlign w:val="center"/>
                </w:tcPr>
                <w:p>
                  <w:pPr>
                    <w:spacing w:line="320" w:lineRule="exact"/>
                    <w:jc w:val="center"/>
                    <w:rPr>
                      <w:bCs/>
                      <w:szCs w:val="21"/>
                    </w:rPr>
                  </w:pPr>
                  <w:r>
                    <w:rPr>
                      <w:bCs/>
                      <w:szCs w:val="21"/>
                    </w:rPr>
                    <w:t>0.5</w:t>
                  </w:r>
                </w:p>
              </w:tc>
              <w:tc>
                <w:tcPr>
                  <w:tcW w:w="833" w:type="dxa"/>
                  <w:vAlign w:val="center"/>
                </w:tcPr>
                <w:p>
                  <w:pPr>
                    <w:spacing w:line="320" w:lineRule="exact"/>
                    <w:jc w:val="center"/>
                    <w:rPr>
                      <w:bCs/>
                      <w:szCs w:val="21"/>
                    </w:rPr>
                  </w:pPr>
                  <w:r>
                    <w:rPr>
                      <w:bCs/>
                      <w:szCs w:val="21"/>
                    </w:rPr>
                    <w:t>0%</w:t>
                  </w:r>
                </w:p>
              </w:tc>
              <w:tc>
                <w:tcPr>
                  <w:tcW w:w="1418" w:type="dxa"/>
                  <w:vAlign w:val="center"/>
                </w:tcPr>
                <w:p>
                  <w:pPr>
                    <w:spacing w:line="320" w:lineRule="exact"/>
                    <w:jc w:val="center"/>
                    <w:rPr>
                      <w:bCs/>
                      <w:szCs w:val="21"/>
                    </w:rPr>
                  </w:pPr>
                  <w:r>
                    <w:rPr>
                      <w:bCs/>
                      <w:szCs w:val="21"/>
                    </w:rPr>
                    <w:t>/</w:t>
                  </w:r>
                </w:p>
              </w:tc>
              <w:tc>
                <w:tcPr>
                  <w:tcW w:w="834" w:type="dxa"/>
                  <w:vAlign w:val="center"/>
                </w:tcPr>
                <w:p>
                  <w:pPr>
                    <w:spacing w:line="320" w:lineRule="exact"/>
                    <w:jc w:val="center"/>
                    <w:rPr>
                      <w:bCs/>
                      <w:szCs w:val="21"/>
                    </w:rPr>
                  </w:pPr>
                  <w:r>
                    <w:rPr>
                      <w:bCs/>
                      <w:szCs w:val="21"/>
                    </w:rPr>
                    <w:t>/</w:t>
                  </w:r>
                </w:p>
              </w:tc>
              <w:tc>
                <w:tcPr>
                  <w:tcW w:w="856" w:type="dxa"/>
                  <w:vAlign w:val="center"/>
                </w:tcPr>
                <w:p>
                  <w:pPr>
                    <w:spacing w:line="320" w:lineRule="exact"/>
                    <w:jc w:val="center"/>
                    <w:rPr>
                      <w:bCs/>
                      <w:szCs w:val="21"/>
                    </w:rPr>
                  </w:pPr>
                  <w:r>
                    <w:rPr>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continue"/>
                  <w:vAlign w:val="center"/>
                </w:tcPr>
                <w:p>
                  <w:pPr>
                    <w:spacing w:line="320" w:lineRule="exact"/>
                    <w:jc w:val="center"/>
                    <w:rPr>
                      <w:bCs/>
                      <w:szCs w:val="21"/>
                    </w:rPr>
                  </w:pPr>
                </w:p>
              </w:tc>
              <w:tc>
                <w:tcPr>
                  <w:tcW w:w="1358" w:type="dxa"/>
                  <w:vAlign w:val="center"/>
                </w:tcPr>
                <w:p>
                  <w:pPr>
                    <w:spacing w:line="320" w:lineRule="exact"/>
                    <w:jc w:val="center"/>
                    <w:rPr>
                      <w:bCs/>
                      <w:szCs w:val="21"/>
                    </w:rPr>
                  </w:pPr>
                  <w:r>
                    <w:rPr>
                      <w:bCs/>
                      <w:szCs w:val="21"/>
                    </w:rPr>
                    <w:t>NO</w:t>
                  </w:r>
                  <w:r>
                    <w:rPr>
                      <w:bCs/>
                      <w:szCs w:val="21"/>
                      <w:vertAlign w:val="subscript"/>
                    </w:rPr>
                    <w:t>2</w:t>
                  </w:r>
                </w:p>
              </w:tc>
              <w:tc>
                <w:tcPr>
                  <w:tcW w:w="1482" w:type="dxa"/>
                  <w:vAlign w:val="center"/>
                </w:tcPr>
                <w:p>
                  <w:pPr>
                    <w:spacing w:line="280" w:lineRule="exact"/>
                    <w:jc w:val="center"/>
                    <w:rPr>
                      <w:bCs/>
                      <w:szCs w:val="21"/>
                    </w:rPr>
                  </w:pPr>
                  <w:r>
                    <w:rPr>
                      <w:szCs w:val="21"/>
                    </w:rPr>
                    <w:t>0.024~0.029</w:t>
                  </w:r>
                </w:p>
              </w:tc>
              <w:tc>
                <w:tcPr>
                  <w:tcW w:w="821" w:type="dxa"/>
                  <w:vAlign w:val="center"/>
                </w:tcPr>
                <w:p>
                  <w:pPr>
                    <w:spacing w:line="320" w:lineRule="exact"/>
                    <w:jc w:val="center"/>
                    <w:rPr>
                      <w:bCs/>
                      <w:szCs w:val="21"/>
                    </w:rPr>
                  </w:pPr>
                  <w:r>
                    <w:rPr>
                      <w:bCs/>
                      <w:szCs w:val="21"/>
                    </w:rPr>
                    <w:t>0.2</w:t>
                  </w:r>
                </w:p>
              </w:tc>
              <w:tc>
                <w:tcPr>
                  <w:tcW w:w="833" w:type="dxa"/>
                  <w:vAlign w:val="center"/>
                </w:tcPr>
                <w:p>
                  <w:pPr>
                    <w:spacing w:line="320" w:lineRule="exact"/>
                    <w:jc w:val="center"/>
                    <w:rPr>
                      <w:bCs/>
                      <w:szCs w:val="21"/>
                    </w:rPr>
                  </w:pPr>
                  <w:r>
                    <w:rPr>
                      <w:bCs/>
                      <w:szCs w:val="21"/>
                    </w:rPr>
                    <w:t>0%</w:t>
                  </w:r>
                </w:p>
              </w:tc>
              <w:tc>
                <w:tcPr>
                  <w:tcW w:w="1418" w:type="dxa"/>
                  <w:vAlign w:val="center"/>
                </w:tcPr>
                <w:p>
                  <w:pPr>
                    <w:spacing w:line="320" w:lineRule="exact"/>
                    <w:jc w:val="center"/>
                    <w:rPr>
                      <w:bCs/>
                      <w:szCs w:val="21"/>
                    </w:rPr>
                  </w:pPr>
                  <w:r>
                    <w:rPr>
                      <w:bCs/>
                      <w:szCs w:val="21"/>
                    </w:rPr>
                    <w:t>/</w:t>
                  </w:r>
                </w:p>
              </w:tc>
              <w:tc>
                <w:tcPr>
                  <w:tcW w:w="834" w:type="dxa"/>
                  <w:vAlign w:val="center"/>
                </w:tcPr>
                <w:p>
                  <w:pPr>
                    <w:spacing w:line="320" w:lineRule="exact"/>
                    <w:jc w:val="center"/>
                    <w:rPr>
                      <w:bCs/>
                      <w:szCs w:val="21"/>
                    </w:rPr>
                  </w:pPr>
                  <w:r>
                    <w:rPr>
                      <w:bCs/>
                      <w:szCs w:val="21"/>
                    </w:rPr>
                    <w:t>/</w:t>
                  </w:r>
                </w:p>
              </w:tc>
              <w:tc>
                <w:tcPr>
                  <w:tcW w:w="856" w:type="dxa"/>
                  <w:vAlign w:val="center"/>
                </w:tcPr>
                <w:p>
                  <w:pPr>
                    <w:spacing w:line="320" w:lineRule="exact"/>
                    <w:jc w:val="center"/>
                    <w:rPr>
                      <w:bCs/>
                      <w:szCs w:val="21"/>
                    </w:rPr>
                  </w:pPr>
                  <w:r>
                    <w:rPr>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continue"/>
                  <w:vAlign w:val="center"/>
                </w:tcPr>
                <w:p>
                  <w:pPr>
                    <w:spacing w:line="320" w:lineRule="exact"/>
                    <w:jc w:val="center"/>
                    <w:rPr>
                      <w:bCs/>
                      <w:szCs w:val="21"/>
                    </w:rPr>
                  </w:pPr>
                </w:p>
              </w:tc>
              <w:tc>
                <w:tcPr>
                  <w:tcW w:w="1358" w:type="dxa"/>
                  <w:vAlign w:val="center"/>
                </w:tcPr>
                <w:p>
                  <w:pPr>
                    <w:spacing w:line="320" w:lineRule="exact"/>
                    <w:jc w:val="center"/>
                    <w:rPr>
                      <w:bCs/>
                      <w:szCs w:val="21"/>
                    </w:rPr>
                  </w:pPr>
                  <w:r>
                    <w:rPr>
                      <w:bCs/>
                      <w:szCs w:val="21"/>
                    </w:rPr>
                    <w:t>非甲烷总烃</w:t>
                  </w:r>
                </w:p>
              </w:tc>
              <w:tc>
                <w:tcPr>
                  <w:tcW w:w="1482" w:type="dxa"/>
                  <w:vAlign w:val="center"/>
                </w:tcPr>
                <w:p>
                  <w:pPr>
                    <w:spacing w:line="280" w:lineRule="exact"/>
                    <w:jc w:val="center"/>
                    <w:rPr>
                      <w:bCs/>
                      <w:szCs w:val="21"/>
                    </w:rPr>
                  </w:pPr>
                  <w:r>
                    <w:rPr>
                      <w:szCs w:val="21"/>
                    </w:rPr>
                    <w:t>0.48~0.85</w:t>
                  </w:r>
                </w:p>
              </w:tc>
              <w:tc>
                <w:tcPr>
                  <w:tcW w:w="821" w:type="dxa"/>
                  <w:vAlign w:val="center"/>
                </w:tcPr>
                <w:p>
                  <w:pPr>
                    <w:spacing w:line="320" w:lineRule="exact"/>
                    <w:jc w:val="center"/>
                    <w:rPr>
                      <w:bCs/>
                      <w:szCs w:val="21"/>
                    </w:rPr>
                  </w:pPr>
                  <w:r>
                    <w:rPr>
                      <w:bCs/>
                      <w:szCs w:val="21"/>
                    </w:rPr>
                    <w:t>2.0</w:t>
                  </w:r>
                </w:p>
              </w:tc>
              <w:tc>
                <w:tcPr>
                  <w:tcW w:w="833" w:type="dxa"/>
                  <w:vAlign w:val="center"/>
                </w:tcPr>
                <w:p>
                  <w:pPr>
                    <w:spacing w:line="320" w:lineRule="exact"/>
                    <w:jc w:val="center"/>
                    <w:rPr>
                      <w:bCs/>
                      <w:szCs w:val="21"/>
                    </w:rPr>
                  </w:pPr>
                  <w:r>
                    <w:rPr>
                      <w:bCs/>
                      <w:szCs w:val="21"/>
                    </w:rPr>
                    <w:t>0%</w:t>
                  </w:r>
                </w:p>
              </w:tc>
              <w:tc>
                <w:tcPr>
                  <w:tcW w:w="1418" w:type="dxa"/>
                  <w:vAlign w:val="center"/>
                </w:tcPr>
                <w:p>
                  <w:pPr>
                    <w:spacing w:line="320" w:lineRule="exact"/>
                    <w:jc w:val="center"/>
                    <w:rPr>
                      <w:bCs/>
                      <w:szCs w:val="21"/>
                    </w:rPr>
                  </w:pPr>
                  <w:r>
                    <w:rPr>
                      <w:bCs/>
                      <w:szCs w:val="21"/>
                    </w:rPr>
                    <w:t>/</w:t>
                  </w:r>
                </w:p>
              </w:tc>
              <w:tc>
                <w:tcPr>
                  <w:tcW w:w="834" w:type="dxa"/>
                  <w:vAlign w:val="center"/>
                </w:tcPr>
                <w:p>
                  <w:pPr>
                    <w:spacing w:line="320" w:lineRule="exact"/>
                    <w:jc w:val="center"/>
                    <w:rPr>
                      <w:bCs/>
                      <w:szCs w:val="21"/>
                    </w:rPr>
                  </w:pPr>
                  <w:r>
                    <w:rPr>
                      <w:bCs/>
                      <w:szCs w:val="21"/>
                    </w:rPr>
                    <w:t>/</w:t>
                  </w:r>
                </w:p>
              </w:tc>
              <w:tc>
                <w:tcPr>
                  <w:tcW w:w="856" w:type="dxa"/>
                  <w:vAlign w:val="center"/>
                </w:tcPr>
                <w:p>
                  <w:pPr>
                    <w:spacing w:line="320" w:lineRule="exact"/>
                    <w:jc w:val="center"/>
                    <w:rPr>
                      <w:bCs/>
                      <w:szCs w:val="21"/>
                    </w:rPr>
                  </w:pPr>
                  <w:r>
                    <w:rPr>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0" w:type="dxa"/>
                  <w:vMerge w:val="continue"/>
                  <w:vAlign w:val="center"/>
                </w:tcPr>
                <w:p>
                  <w:pPr>
                    <w:spacing w:line="320" w:lineRule="exact"/>
                    <w:jc w:val="center"/>
                    <w:rPr>
                      <w:bCs/>
                      <w:szCs w:val="21"/>
                    </w:rPr>
                  </w:pPr>
                </w:p>
              </w:tc>
              <w:tc>
                <w:tcPr>
                  <w:tcW w:w="1358" w:type="dxa"/>
                  <w:vAlign w:val="center"/>
                </w:tcPr>
                <w:p>
                  <w:pPr>
                    <w:spacing w:line="320" w:lineRule="exact"/>
                    <w:jc w:val="center"/>
                    <w:rPr>
                      <w:bCs/>
                      <w:szCs w:val="21"/>
                    </w:rPr>
                  </w:pPr>
                  <w:r>
                    <w:rPr>
                      <w:bCs/>
                      <w:szCs w:val="21"/>
                    </w:rPr>
                    <w:t>PM</w:t>
                  </w:r>
                  <w:r>
                    <w:rPr>
                      <w:bCs/>
                      <w:szCs w:val="21"/>
                      <w:vertAlign w:val="subscript"/>
                    </w:rPr>
                    <w:t>10</w:t>
                  </w:r>
                </w:p>
              </w:tc>
              <w:tc>
                <w:tcPr>
                  <w:tcW w:w="1482" w:type="dxa"/>
                  <w:vAlign w:val="center"/>
                </w:tcPr>
                <w:p>
                  <w:pPr>
                    <w:spacing w:line="280" w:lineRule="exact"/>
                    <w:jc w:val="center"/>
                    <w:rPr>
                      <w:bCs/>
                      <w:szCs w:val="21"/>
                    </w:rPr>
                  </w:pPr>
                  <w:r>
                    <w:rPr>
                      <w:szCs w:val="21"/>
                    </w:rPr>
                    <w:t>/</w:t>
                  </w:r>
                </w:p>
              </w:tc>
              <w:tc>
                <w:tcPr>
                  <w:tcW w:w="821" w:type="dxa"/>
                  <w:vAlign w:val="center"/>
                </w:tcPr>
                <w:p>
                  <w:pPr>
                    <w:spacing w:line="320" w:lineRule="exact"/>
                    <w:jc w:val="center"/>
                    <w:rPr>
                      <w:bCs/>
                      <w:szCs w:val="21"/>
                    </w:rPr>
                  </w:pPr>
                  <w:r>
                    <w:rPr>
                      <w:bCs/>
                      <w:szCs w:val="21"/>
                    </w:rPr>
                    <w:t>/</w:t>
                  </w:r>
                </w:p>
              </w:tc>
              <w:tc>
                <w:tcPr>
                  <w:tcW w:w="833" w:type="dxa"/>
                  <w:vAlign w:val="center"/>
                </w:tcPr>
                <w:p>
                  <w:pPr>
                    <w:spacing w:line="320" w:lineRule="exact"/>
                    <w:jc w:val="center"/>
                    <w:rPr>
                      <w:bCs/>
                      <w:szCs w:val="21"/>
                    </w:rPr>
                  </w:pPr>
                  <w:r>
                    <w:rPr>
                      <w:bCs/>
                      <w:szCs w:val="21"/>
                    </w:rPr>
                    <w:t>/</w:t>
                  </w:r>
                </w:p>
              </w:tc>
              <w:tc>
                <w:tcPr>
                  <w:tcW w:w="1418" w:type="dxa"/>
                  <w:vAlign w:val="center"/>
                </w:tcPr>
                <w:p>
                  <w:pPr>
                    <w:jc w:val="center"/>
                    <w:rPr>
                      <w:bCs/>
                      <w:szCs w:val="21"/>
                    </w:rPr>
                  </w:pPr>
                  <w:r>
                    <w:rPr>
                      <w:szCs w:val="21"/>
                    </w:rPr>
                    <w:t>0.069～0.085</w:t>
                  </w:r>
                </w:p>
              </w:tc>
              <w:tc>
                <w:tcPr>
                  <w:tcW w:w="834" w:type="dxa"/>
                  <w:vAlign w:val="center"/>
                </w:tcPr>
                <w:p>
                  <w:pPr>
                    <w:spacing w:line="320" w:lineRule="exact"/>
                    <w:jc w:val="center"/>
                    <w:rPr>
                      <w:bCs/>
                      <w:szCs w:val="21"/>
                    </w:rPr>
                  </w:pPr>
                  <w:r>
                    <w:rPr>
                      <w:bCs/>
                      <w:szCs w:val="21"/>
                    </w:rPr>
                    <w:t>0.15</w:t>
                  </w:r>
                </w:p>
              </w:tc>
              <w:tc>
                <w:tcPr>
                  <w:tcW w:w="856" w:type="dxa"/>
                  <w:vAlign w:val="center"/>
                </w:tcPr>
                <w:p>
                  <w:pPr>
                    <w:spacing w:line="320" w:lineRule="exact"/>
                    <w:jc w:val="center"/>
                    <w:rPr>
                      <w:bCs/>
                      <w:szCs w:val="21"/>
                    </w:rPr>
                  </w:pPr>
                  <w:r>
                    <w:rPr>
                      <w:bCs/>
                      <w:szCs w:val="21"/>
                    </w:rPr>
                    <w:t>0%</w:t>
                  </w:r>
                </w:p>
              </w:tc>
            </w:tr>
          </w:tbl>
          <w:p>
            <w:pPr>
              <w:spacing w:line="360" w:lineRule="auto"/>
              <w:ind w:firstLine="480" w:firstLineChars="200"/>
              <w:rPr>
                <w:rFonts w:ascii="Times New Roman" w:hAnsi="Times New Roman" w:eastAsia="宋体" w:cs="Times New Roman"/>
                <w:b/>
                <w:color w:val="auto"/>
                <w:sz w:val="24"/>
                <w:lang w:bidi="ar"/>
              </w:rPr>
            </w:pPr>
            <w:r>
              <w:rPr>
                <w:sz w:val="24"/>
              </w:rPr>
              <w:t>根据表3-2现状引用结果汇总可以看出，常规引用因子SO</w:t>
            </w:r>
            <w:r>
              <w:rPr>
                <w:sz w:val="24"/>
                <w:vertAlign w:val="subscript"/>
              </w:rPr>
              <w:t>2</w:t>
            </w:r>
            <w:r>
              <w:rPr>
                <w:sz w:val="24"/>
              </w:rPr>
              <w:t>、NO</w:t>
            </w:r>
            <w:r>
              <w:rPr>
                <w:sz w:val="24"/>
                <w:vertAlign w:val="subscript"/>
              </w:rPr>
              <w:t>2</w:t>
            </w:r>
            <w:r>
              <w:rPr>
                <w:sz w:val="24"/>
              </w:rPr>
              <w:t>、PM</w:t>
            </w:r>
            <w:r>
              <w:rPr>
                <w:sz w:val="24"/>
                <w:vertAlign w:val="subscript"/>
              </w:rPr>
              <w:t>10</w:t>
            </w:r>
            <w:r>
              <w:rPr>
                <w:sz w:val="24"/>
              </w:rPr>
              <w:t>在各监测点均未出现超标现象，特征污染因子非甲烷总烃在各监测点均未出现超标现象。现状引用值基本满足项目所在地区的环境功能区划要求，通过大气现状评价分析得出，建设项目所在区域环境空气质量基本满足环境功能区划要求。建设项目所在地周围大气环境质量较好，具有一定的环境承载力。</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、地表水质量现状</w:t>
            </w:r>
          </w:p>
          <w:p>
            <w:pPr>
              <w:spacing w:line="480" w:lineRule="exact"/>
              <w:ind w:firstLine="480" w:firstLineChars="200"/>
              <w:rPr>
                <w:rFonts w:hint="eastAsia"/>
                <w:sz w:val="24"/>
              </w:rPr>
            </w:pPr>
            <w:r>
              <w:rPr>
                <w:rFonts w:hint="eastAsia"/>
                <w:sz w:val="24"/>
              </w:rPr>
              <w:t>1）区域水环境状况</w:t>
            </w:r>
          </w:p>
          <w:p>
            <w:pPr>
              <w:spacing w:line="480" w:lineRule="exact"/>
              <w:ind w:firstLine="480" w:firstLineChars="200"/>
              <w:rPr>
                <w:rFonts w:hint="eastAsia"/>
                <w:sz w:val="24"/>
              </w:rPr>
            </w:pPr>
            <w:r>
              <w:rPr>
                <w:kern w:val="0"/>
                <w:sz w:val="24"/>
              </w:rPr>
              <w:t>根据《常州市2017年环境质量公报》，</w:t>
            </w:r>
            <w:r>
              <w:rPr>
                <w:rFonts w:hint="eastAsia"/>
                <w:sz w:val="24"/>
              </w:rPr>
              <w:t>2017 年，我市 33 个“水十条”断面中有 28 个断面水质达标，总体达标率为 84.8%。33 个断面中，Ⅲ类及以上水质断面 21 个，占比 63.6%，Ⅳ类水质断面 9 个，占比 27.3%；Ⅴ类水质断面 3 个，占比 9.1%；无劣Ⅴ类水质断面。主要湖库中，滆湖和长荡湖均处于中度富营养化状态，天目湖（沙河水库）和大溪水库均处于中营养状态。</w:t>
            </w:r>
          </w:p>
          <w:p>
            <w:pPr>
              <w:spacing w:line="480" w:lineRule="exact"/>
              <w:ind w:firstLine="480" w:firstLineChars="200"/>
              <w:rPr>
                <w:rFonts w:hint="eastAsia"/>
                <w:sz w:val="24"/>
              </w:rPr>
            </w:pPr>
            <w:r>
              <w:rPr>
                <w:rFonts w:hint="eastAsia"/>
                <w:kern w:val="0"/>
                <w:sz w:val="24"/>
              </w:rPr>
              <w:t>根据</w:t>
            </w:r>
            <w:r>
              <w:rPr>
                <w:rFonts w:hint="eastAsia"/>
                <w:sz w:val="24"/>
              </w:rPr>
              <w:t>《常州市太湖流域水环境综合治理三年行动计划（2018-2020年）》等的相关要求，完善区域污水管网布局，提升城镇污水管网建设水平，推进村庄生活污水接管处置；合理新（扩）建污水处理厂及提标，完善垃圾收运及处理系统；加快工业企业污水接管及重污染企业整治，加强通航船舶污染治理等相关任务，</w:t>
            </w:r>
            <w:r>
              <w:rPr>
                <w:rFonts w:hint="eastAsia"/>
                <w:kern w:val="0"/>
                <w:sz w:val="24"/>
              </w:rPr>
              <w:t>以实现</w:t>
            </w:r>
            <w:r>
              <w:rPr>
                <w:kern w:val="0"/>
                <w:sz w:val="24"/>
              </w:rPr>
              <w:t>区域</w:t>
            </w:r>
            <w:r>
              <w:rPr>
                <w:rFonts w:hint="eastAsia"/>
                <w:kern w:val="0"/>
                <w:sz w:val="24"/>
              </w:rPr>
              <w:t>环境质量达标。</w:t>
            </w:r>
          </w:p>
          <w:p>
            <w:pPr>
              <w:spacing w:line="480" w:lineRule="exact"/>
              <w:ind w:firstLine="480" w:firstLineChars="200"/>
              <w:rPr>
                <w:rFonts w:hint="eastAsia"/>
                <w:sz w:val="24"/>
              </w:rPr>
            </w:pPr>
            <w:r>
              <w:rPr>
                <w:rFonts w:hint="eastAsia"/>
                <w:sz w:val="24"/>
              </w:rPr>
              <w:t>治理目标：到2020年，武进港、太滆运河、漕桥河三条入湖河流水质年均浓度达到国家和省河流水质控制目标要求，国控考核断面水质达标率达到80%，长荡湖、滆湖等湖泊水质比2013年水质有进一步改善；全市COD、氨氮、总磷、总氮排放量比2015年分别下降5.9%、6.9%、19.5%和16.3%。全面完成《太湖流域水环境综合治理总体方案（2013年修编）》、《江苏省太湖流域水环境综合治理实施方案（2013年修编）》、《江苏省“十三五”太湖流域水环境综合治理行动方案》等规划方案中提出的2020年水质考核目标。</w:t>
            </w:r>
          </w:p>
          <w:p>
            <w:pPr>
              <w:spacing w:line="480" w:lineRule="exact"/>
              <w:ind w:firstLine="480" w:firstLineChars="200"/>
              <w:rPr>
                <w:rFonts w:hint="eastAsia"/>
                <w:sz w:val="24"/>
              </w:rPr>
            </w:pPr>
            <w:r>
              <w:rPr>
                <w:rFonts w:hint="eastAsia"/>
                <w:sz w:val="24"/>
              </w:rPr>
              <w:t>2）纳污水体环境质量现状</w:t>
            </w:r>
          </w:p>
          <w:p>
            <w:pPr>
              <w:spacing w:line="480" w:lineRule="exact"/>
              <w:ind w:firstLine="480" w:firstLineChars="200"/>
              <w:rPr>
                <w:sz w:val="24"/>
              </w:rPr>
            </w:pPr>
            <w:r>
              <w:rPr>
                <w:sz w:val="24"/>
              </w:rPr>
              <w:t>本次地表水环境质量现状评价拟设立2个引用断面，W1、W2分别引用</w:t>
            </w:r>
            <w:r>
              <w:rPr>
                <w:rFonts w:hint="eastAsia"/>
                <w:sz w:val="24"/>
                <w:lang w:eastAsia="zh-CN"/>
              </w:rPr>
              <w:t>《</w:t>
            </w:r>
            <w:r>
              <w:rPr>
                <w:sz w:val="24"/>
              </w:rPr>
              <w:t>常州市武进湖塘集体资产经营有限公司武进区湖塘镇2018-2019污水管网项目》中常州佳蓝环境检测有限公司于2018年8月3日~8月5日对采菱港的历史监测数据，具体引用断面详见表3-</w:t>
            </w:r>
            <w:r>
              <w:rPr>
                <w:rFonts w:hint="eastAsia"/>
                <w:sz w:val="24"/>
                <w:lang w:val="en-US" w:eastAsia="zh-CN"/>
              </w:rPr>
              <w:t>2</w:t>
            </w:r>
            <w:r>
              <w:rPr>
                <w:sz w:val="24"/>
              </w:rPr>
              <w:t>。</w:t>
            </w:r>
          </w:p>
          <w:p>
            <w:pPr>
              <w:spacing w:line="480" w:lineRule="exact"/>
              <w:ind w:firstLine="480" w:firstLineChars="200"/>
              <w:rPr>
                <w:b/>
                <w:bCs/>
                <w:sz w:val="24"/>
              </w:rPr>
            </w:pPr>
            <w:r>
              <w:rPr>
                <w:kern w:val="0"/>
                <w:sz w:val="24"/>
                <w:szCs w:val="28"/>
              </w:rPr>
              <w:t>引用数据有效性分析：</w:t>
            </w:r>
            <w:r>
              <w:rPr>
                <w:kern w:val="0"/>
                <w:sz w:val="24"/>
                <w:szCs w:val="28"/>
              </w:rPr>
              <w:fldChar w:fldCharType="begin"/>
            </w:r>
            <w:r>
              <w:rPr>
                <w:kern w:val="0"/>
                <w:sz w:val="24"/>
                <w:szCs w:val="28"/>
              </w:rPr>
              <w:instrText xml:space="preserve"> = 1 \* GB3 \* MERGEFORMAT </w:instrText>
            </w:r>
            <w:r>
              <w:rPr>
                <w:kern w:val="0"/>
                <w:sz w:val="24"/>
                <w:szCs w:val="28"/>
              </w:rPr>
              <w:fldChar w:fldCharType="separate"/>
            </w:r>
            <w:r>
              <w:rPr>
                <w:rFonts w:hint="eastAsia" w:ascii="宋体" w:hAnsi="宋体" w:cs="宋体"/>
                <w:kern w:val="0"/>
                <w:sz w:val="24"/>
                <w:szCs w:val="28"/>
              </w:rPr>
              <w:t>①</w:t>
            </w:r>
            <w:r>
              <w:rPr>
                <w:kern w:val="0"/>
                <w:sz w:val="24"/>
                <w:szCs w:val="28"/>
              </w:rPr>
              <w:fldChar w:fldCharType="end"/>
            </w:r>
            <w:r>
              <w:rPr>
                <w:kern w:val="0"/>
                <w:sz w:val="24"/>
                <w:szCs w:val="28"/>
              </w:rPr>
              <w:t>于</w:t>
            </w:r>
            <w:r>
              <w:rPr>
                <w:sz w:val="24"/>
              </w:rPr>
              <w:t>2018年8月3日~8月5日</w:t>
            </w:r>
            <w:r>
              <w:rPr>
                <w:kern w:val="0"/>
                <w:sz w:val="24"/>
                <w:szCs w:val="28"/>
              </w:rPr>
              <w:t>检测地表水，引用时间不超过1年，地表水引用时间有效；</w:t>
            </w:r>
            <w:r>
              <w:rPr>
                <w:kern w:val="0"/>
                <w:sz w:val="24"/>
                <w:szCs w:val="28"/>
              </w:rPr>
              <w:fldChar w:fldCharType="begin"/>
            </w:r>
            <w:r>
              <w:rPr>
                <w:kern w:val="0"/>
                <w:sz w:val="24"/>
                <w:szCs w:val="28"/>
              </w:rPr>
              <w:instrText xml:space="preserve"> = 2 \* GB3 \* MERGEFORMAT </w:instrText>
            </w:r>
            <w:r>
              <w:rPr>
                <w:kern w:val="0"/>
                <w:sz w:val="24"/>
                <w:szCs w:val="28"/>
              </w:rPr>
              <w:fldChar w:fldCharType="separate"/>
            </w:r>
            <w:r>
              <w:rPr>
                <w:rFonts w:hint="eastAsia" w:ascii="宋体" w:hAnsi="宋体" w:cs="宋体"/>
                <w:kern w:val="0"/>
                <w:sz w:val="24"/>
                <w:szCs w:val="28"/>
              </w:rPr>
              <w:t>②</w:t>
            </w:r>
            <w:r>
              <w:rPr>
                <w:kern w:val="0"/>
                <w:sz w:val="24"/>
                <w:szCs w:val="28"/>
              </w:rPr>
              <w:fldChar w:fldCharType="end"/>
            </w:r>
            <w:r>
              <w:rPr>
                <w:kern w:val="0"/>
                <w:sz w:val="24"/>
                <w:szCs w:val="28"/>
              </w:rPr>
              <w:t>项目所在区域内污染源未发生重大变化，可引用1年内地表水的检测数据；</w:t>
            </w:r>
            <w:r>
              <w:rPr>
                <w:kern w:val="0"/>
                <w:sz w:val="24"/>
                <w:szCs w:val="28"/>
              </w:rPr>
              <w:fldChar w:fldCharType="begin"/>
            </w:r>
            <w:r>
              <w:rPr>
                <w:kern w:val="0"/>
                <w:sz w:val="24"/>
                <w:szCs w:val="28"/>
              </w:rPr>
              <w:instrText xml:space="preserve"> = 3 \* GB3 \* MERGEFORMAT </w:instrText>
            </w:r>
            <w:r>
              <w:rPr>
                <w:kern w:val="0"/>
                <w:sz w:val="24"/>
                <w:szCs w:val="28"/>
              </w:rPr>
              <w:fldChar w:fldCharType="separate"/>
            </w:r>
            <w:r>
              <w:rPr>
                <w:rFonts w:hint="eastAsia" w:ascii="宋体" w:hAnsi="宋体" w:cs="宋体"/>
                <w:kern w:val="0"/>
                <w:sz w:val="24"/>
                <w:szCs w:val="28"/>
              </w:rPr>
              <w:t>③</w:t>
            </w:r>
            <w:r>
              <w:rPr>
                <w:kern w:val="0"/>
                <w:sz w:val="24"/>
                <w:szCs w:val="28"/>
              </w:rPr>
              <w:fldChar w:fldCharType="end"/>
            </w:r>
            <w:r>
              <w:rPr>
                <w:kern w:val="0"/>
                <w:sz w:val="24"/>
                <w:szCs w:val="28"/>
              </w:rPr>
              <w:t>引用点位在项目相关评价范围内，因此地表水引用点位有效。</w:t>
            </w:r>
          </w:p>
          <w:p>
            <w:pPr>
              <w:spacing w:line="400" w:lineRule="exact"/>
              <w:jc w:val="center"/>
              <w:rPr>
                <w:b/>
                <w:bCs/>
                <w:sz w:val="24"/>
              </w:rPr>
            </w:pPr>
            <w:r>
              <w:rPr>
                <w:b/>
                <w:bCs/>
                <w:sz w:val="24"/>
              </w:rPr>
              <w:t>表3-</w:t>
            </w:r>
            <w:r>
              <w:rPr>
                <w:rFonts w:hint="eastAsia"/>
                <w:b/>
                <w:bCs/>
                <w:sz w:val="24"/>
                <w:lang w:val="en-US" w:eastAsia="zh-CN"/>
              </w:rPr>
              <w:t>4</w:t>
            </w:r>
            <w:r>
              <w:rPr>
                <w:b/>
                <w:bCs/>
                <w:sz w:val="24"/>
              </w:rPr>
              <w:t xml:space="preserve">  地表水</w:t>
            </w:r>
            <w:r>
              <w:rPr>
                <w:b/>
                <w:sz w:val="24"/>
              </w:rPr>
              <w:t>环境质量现状引用</w:t>
            </w:r>
            <w:r>
              <w:rPr>
                <w:b/>
                <w:bCs/>
                <w:sz w:val="24"/>
              </w:rPr>
              <w:t>断面</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4"/>
              <w:gridCol w:w="1432"/>
              <w:gridCol w:w="1742"/>
              <w:gridCol w:w="1041"/>
              <w:gridCol w:w="1225"/>
              <w:gridCol w:w="8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Align w:val="center"/>
                </w:tcPr>
                <w:p>
                  <w:pPr>
                    <w:spacing w:line="320" w:lineRule="exact"/>
                    <w:jc w:val="center"/>
                    <w:rPr>
                      <w:b/>
                      <w:bCs/>
                      <w:szCs w:val="21"/>
                    </w:rPr>
                  </w:pPr>
                  <w:r>
                    <w:rPr>
                      <w:b/>
                      <w:bCs/>
                      <w:szCs w:val="21"/>
                    </w:rPr>
                    <w:t>河流名称</w:t>
                  </w:r>
                </w:p>
              </w:tc>
              <w:tc>
                <w:tcPr>
                  <w:tcW w:w="834" w:type="dxa"/>
                  <w:vAlign w:val="center"/>
                </w:tcPr>
                <w:p>
                  <w:pPr>
                    <w:spacing w:line="320" w:lineRule="exact"/>
                    <w:jc w:val="center"/>
                    <w:rPr>
                      <w:b/>
                      <w:bCs/>
                      <w:szCs w:val="21"/>
                    </w:rPr>
                  </w:pPr>
                  <w:r>
                    <w:rPr>
                      <w:b/>
                      <w:sz w:val="24"/>
                    </w:rPr>
                    <w:t>监测</w:t>
                  </w:r>
                  <w:r>
                    <w:rPr>
                      <w:b/>
                      <w:bCs/>
                      <w:szCs w:val="21"/>
                    </w:rPr>
                    <w:t>断面</w:t>
                  </w:r>
                </w:p>
              </w:tc>
              <w:tc>
                <w:tcPr>
                  <w:tcW w:w="1432" w:type="dxa"/>
                  <w:vAlign w:val="center"/>
                </w:tcPr>
                <w:p>
                  <w:pPr>
                    <w:spacing w:line="320" w:lineRule="exact"/>
                    <w:jc w:val="center"/>
                    <w:rPr>
                      <w:b/>
                      <w:bCs/>
                      <w:szCs w:val="21"/>
                    </w:rPr>
                  </w:pPr>
                  <w:r>
                    <w:rPr>
                      <w:b/>
                      <w:bCs/>
                      <w:szCs w:val="21"/>
                    </w:rPr>
                    <w:t>断面位置</w:t>
                  </w:r>
                </w:p>
              </w:tc>
              <w:tc>
                <w:tcPr>
                  <w:tcW w:w="1742" w:type="dxa"/>
                  <w:vAlign w:val="center"/>
                </w:tcPr>
                <w:p>
                  <w:pPr>
                    <w:spacing w:line="320" w:lineRule="exact"/>
                    <w:jc w:val="center"/>
                    <w:rPr>
                      <w:b/>
                      <w:bCs/>
                      <w:szCs w:val="21"/>
                    </w:rPr>
                  </w:pPr>
                  <w:r>
                    <w:rPr>
                      <w:b/>
                      <w:bCs/>
                      <w:szCs w:val="21"/>
                    </w:rPr>
                    <w:t>距城区污水处理厂排口距离(m)</w:t>
                  </w:r>
                </w:p>
              </w:tc>
              <w:tc>
                <w:tcPr>
                  <w:tcW w:w="1041" w:type="dxa"/>
                  <w:vAlign w:val="center"/>
                </w:tcPr>
                <w:p>
                  <w:pPr>
                    <w:spacing w:line="320" w:lineRule="exact"/>
                    <w:jc w:val="center"/>
                    <w:rPr>
                      <w:b/>
                      <w:bCs/>
                      <w:szCs w:val="21"/>
                    </w:rPr>
                  </w:pPr>
                  <w:r>
                    <w:rPr>
                      <w:b/>
                      <w:bCs/>
                      <w:szCs w:val="21"/>
                    </w:rPr>
                    <w:t>断面位置</w:t>
                  </w:r>
                </w:p>
              </w:tc>
              <w:tc>
                <w:tcPr>
                  <w:tcW w:w="1225" w:type="dxa"/>
                  <w:vAlign w:val="center"/>
                </w:tcPr>
                <w:p>
                  <w:pPr>
                    <w:spacing w:line="320" w:lineRule="exact"/>
                    <w:jc w:val="center"/>
                    <w:rPr>
                      <w:b/>
                      <w:bCs/>
                      <w:szCs w:val="21"/>
                    </w:rPr>
                  </w:pPr>
                  <w:r>
                    <w:rPr>
                      <w:b/>
                      <w:sz w:val="24"/>
                    </w:rPr>
                    <w:t>监测</w:t>
                  </w:r>
                  <w:r>
                    <w:rPr>
                      <w:b/>
                      <w:bCs/>
                      <w:szCs w:val="21"/>
                    </w:rPr>
                    <w:t>因子</w:t>
                  </w:r>
                </w:p>
              </w:tc>
              <w:tc>
                <w:tcPr>
                  <w:tcW w:w="800" w:type="dxa"/>
                  <w:vAlign w:val="center"/>
                </w:tcPr>
                <w:p>
                  <w:pPr>
                    <w:spacing w:line="320" w:lineRule="exact"/>
                    <w:jc w:val="center"/>
                    <w:rPr>
                      <w:b/>
                      <w:bCs/>
                      <w:szCs w:val="21"/>
                    </w:rPr>
                  </w:pPr>
                  <w:r>
                    <w:rPr>
                      <w:b/>
                      <w:bCs/>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restart"/>
                  <w:vAlign w:val="center"/>
                </w:tcPr>
                <w:p>
                  <w:pPr>
                    <w:spacing w:line="320" w:lineRule="exact"/>
                    <w:jc w:val="center"/>
                    <w:rPr>
                      <w:szCs w:val="21"/>
                    </w:rPr>
                  </w:pPr>
                  <w:r>
                    <w:rPr>
                      <w:szCs w:val="21"/>
                    </w:rPr>
                    <w:t>采菱港</w:t>
                  </w:r>
                </w:p>
              </w:tc>
              <w:tc>
                <w:tcPr>
                  <w:tcW w:w="834" w:type="dxa"/>
                  <w:vAlign w:val="center"/>
                </w:tcPr>
                <w:p>
                  <w:pPr>
                    <w:spacing w:line="320" w:lineRule="exact"/>
                    <w:jc w:val="center"/>
                    <w:rPr>
                      <w:szCs w:val="21"/>
                    </w:rPr>
                  </w:pPr>
                  <w:r>
                    <w:t>W1</w:t>
                  </w:r>
                </w:p>
              </w:tc>
              <w:tc>
                <w:tcPr>
                  <w:tcW w:w="1432" w:type="dxa"/>
                  <w:vAlign w:val="center"/>
                </w:tcPr>
                <w:p>
                  <w:pPr>
                    <w:jc w:val="center"/>
                    <w:rPr>
                      <w:szCs w:val="21"/>
                    </w:rPr>
                  </w:pPr>
                  <w:r>
                    <w:t>新312国道桥</w:t>
                  </w:r>
                </w:p>
              </w:tc>
              <w:tc>
                <w:tcPr>
                  <w:tcW w:w="1742" w:type="dxa"/>
                  <w:vAlign w:val="center"/>
                </w:tcPr>
                <w:p>
                  <w:pPr>
                    <w:jc w:val="center"/>
                    <w:rPr>
                      <w:szCs w:val="21"/>
                    </w:rPr>
                  </w:pPr>
                  <w:r>
                    <w:t>上游1000m</w:t>
                  </w:r>
                </w:p>
              </w:tc>
              <w:tc>
                <w:tcPr>
                  <w:tcW w:w="1041" w:type="dxa"/>
                  <w:vMerge w:val="restart"/>
                  <w:vAlign w:val="center"/>
                </w:tcPr>
                <w:p>
                  <w:pPr>
                    <w:spacing w:line="320" w:lineRule="exact"/>
                    <w:jc w:val="center"/>
                    <w:rPr>
                      <w:szCs w:val="21"/>
                    </w:rPr>
                  </w:pPr>
                  <w:r>
                    <w:rPr>
                      <w:szCs w:val="21"/>
                    </w:rPr>
                    <w:t>河道中央</w:t>
                  </w:r>
                </w:p>
              </w:tc>
              <w:tc>
                <w:tcPr>
                  <w:tcW w:w="1225" w:type="dxa"/>
                  <w:vMerge w:val="restart"/>
                  <w:vAlign w:val="center"/>
                </w:tcPr>
                <w:p>
                  <w:pPr>
                    <w:jc w:val="center"/>
                    <w:rPr>
                      <w:szCs w:val="21"/>
                    </w:rPr>
                  </w:pPr>
                  <w:r>
                    <w:rPr>
                      <w:szCs w:val="21"/>
                    </w:rPr>
                    <w:t>pH、高锰酸盐指数、</w:t>
                  </w:r>
                </w:p>
                <w:p>
                  <w:pPr>
                    <w:jc w:val="center"/>
                    <w:rPr>
                      <w:szCs w:val="21"/>
                    </w:rPr>
                  </w:pPr>
                  <w:r>
                    <w:rPr>
                      <w:szCs w:val="21"/>
                    </w:rPr>
                    <w:t>氨氮、TP</w:t>
                  </w:r>
                </w:p>
              </w:tc>
              <w:tc>
                <w:tcPr>
                  <w:tcW w:w="800" w:type="dxa"/>
                  <w:vMerge w:val="restart"/>
                  <w:vAlign w:val="center"/>
                </w:tcPr>
                <w:p>
                  <w:pPr>
                    <w:jc w:val="center"/>
                    <w:rPr>
                      <w:szCs w:val="21"/>
                    </w:rPr>
                  </w:pPr>
                  <w:r>
                    <w:rPr>
                      <w:rFonts w:hint="eastAsia" w:ascii="宋体" w:hAnsi="宋体" w:cs="宋体"/>
                      <w:szCs w:val="21"/>
                    </w:rPr>
                    <w:t>Ⅳ</w:t>
                  </w:r>
                  <w:r>
                    <w:rPr>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38" w:type="dxa"/>
                  <w:vMerge w:val="continue"/>
                  <w:vAlign w:val="center"/>
                </w:tcPr>
                <w:p>
                  <w:pPr>
                    <w:spacing w:line="320" w:lineRule="exact"/>
                    <w:jc w:val="center"/>
                    <w:rPr>
                      <w:szCs w:val="21"/>
                    </w:rPr>
                  </w:pPr>
                </w:p>
              </w:tc>
              <w:tc>
                <w:tcPr>
                  <w:tcW w:w="834" w:type="dxa"/>
                  <w:vAlign w:val="center"/>
                </w:tcPr>
                <w:p>
                  <w:pPr>
                    <w:spacing w:line="320" w:lineRule="exact"/>
                    <w:jc w:val="center"/>
                    <w:rPr>
                      <w:szCs w:val="21"/>
                    </w:rPr>
                  </w:pPr>
                  <w:r>
                    <w:t>W2</w:t>
                  </w:r>
                </w:p>
              </w:tc>
              <w:tc>
                <w:tcPr>
                  <w:tcW w:w="1432" w:type="dxa"/>
                  <w:vAlign w:val="center"/>
                </w:tcPr>
                <w:p>
                  <w:pPr>
                    <w:jc w:val="center"/>
                    <w:rPr>
                      <w:szCs w:val="21"/>
                    </w:rPr>
                  </w:pPr>
                  <w:r>
                    <w:t>马杭桥</w:t>
                  </w:r>
                </w:p>
              </w:tc>
              <w:tc>
                <w:tcPr>
                  <w:tcW w:w="1742" w:type="dxa"/>
                  <w:vAlign w:val="center"/>
                </w:tcPr>
                <w:p>
                  <w:pPr>
                    <w:jc w:val="center"/>
                    <w:rPr>
                      <w:szCs w:val="21"/>
                    </w:rPr>
                  </w:pPr>
                  <w:r>
                    <w:t>下游1500m</w:t>
                  </w:r>
                </w:p>
              </w:tc>
              <w:tc>
                <w:tcPr>
                  <w:tcW w:w="1041" w:type="dxa"/>
                  <w:vMerge w:val="continue"/>
                  <w:vAlign w:val="center"/>
                </w:tcPr>
                <w:p>
                  <w:pPr>
                    <w:spacing w:line="320" w:lineRule="exact"/>
                    <w:jc w:val="center"/>
                    <w:rPr>
                      <w:szCs w:val="21"/>
                    </w:rPr>
                  </w:pPr>
                </w:p>
              </w:tc>
              <w:tc>
                <w:tcPr>
                  <w:tcW w:w="1225" w:type="dxa"/>
                  <w:vMerge w:val="continue"/>
                  <w:vAlign w:val="center"/>
                </w:tcPr>
                <w:p>
                  <w:pPr>
                    <w:spacing w:line="320" w:lineRule="exact"/>
                    <w:jc w:val="center"/>
                    <w:rPr>
                      <w:szCs w:val="21"/>
                    </w:rPr>
                  </w:pPr>
                </w:p>
              </w:tc>
              <w:tc>
                <w:tcPr>
                  <w:tcW w:w="800" w:type="dxa"/>
                  <w:vMerge w:val="continue"/>
                  <w:vAlign w:val="center"/>
                </w:tcPr>
                <w:p>
                  <w:pPr>
                    <w:spacing w:line="320" w:lineRule="exact"/>
                    <w:jc w:val="center"/>
                    <w:rPr>
                      <w:szCs w:val="21"/>
                    </w:rPr>
                  </w:pPr>
                </w:p>
              </w:tc>
            </w:tr>
          </w:tbl>
          <w:p>
            <w:pPr>
              <w:spacing w:line="480" w:lineRule="exact"/>
              <w:ind w:firstLine="472" w:firstLineChars="196"/>
              <w:jc w:val="center"/>
              <w:rPr>
                <w:b/>
                <w:bCs/>
                <w:sz w:val="24"/>
              </w:rPr>
            </w:pPr>
            <w:r>
              <w:rPr>
                <w:b/>
                <w:bCs/>
                <w:sz w:val="24"/>
              </w:rPr>
              <w:t>表3-</w:t>
            </w:r>
            <w:r>
              <w:rPr>
                <w:rFonts w:hint="eastAsia"/>
                <w:b/>
                <w:bCs/>
                <w:sz w:val="24"/>
                <w:lang w:val="en-US" w:eastAsia="zh-CN"/>
              </w:rPr>
              <w:t>5</w:t>
            </w:r>
            <w:r>
              <w:rPr>
                <w:b/>
                <w:bCs/>
                <w:sz w:val="24"/>
              </w:rPr>
              <w:t xml:space="preserve"> 地表水质量引用结果表 （mg/L，pH无量纲）</w:t>
            </w:r>
          </w:p>
          <w:tbl>
            <w:tblPr>
              <w:tblStyle w:val="15"/>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38"/>
              <w:gridCol w:w="1357"/>
              <w:gridCol w:w="1386"/>
              <w:gridCol w:w="1298"/>
              <w:gridCol w:w="1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Align w:val="center"/>
                </w:tcPr>
                <w:p>
                  <w:pPr>
                    <w:spacing w:line="320" w:lineRule="exact"/>
                    <w:jc w:val="center"/>
                    <w:rPr>
                      <w:b/>
                      <w:szCs w:val="21"/>
                    </w:rPr>
                  </w:pPr>
                  <w:r>
                    <w:rPr>
                      <w:b/>
                      <w:szCs w:val="21"/>
                    </w:rPr>
                    <w:t>断面</w:t>
                  </w:r>
                </w:p>
              </w:tc>
              <w:tc>
                <w:tcPr>
                  <w:tcW w:w="1938" w:type="dxa"/>
                  <w:vAlign w:val="center"/>
                </w:tcPr>
                <w:p>
                  <w:pPr>
                    <w:spacing w:line="320" w:lineRule="exact"/>
                    <w:jc w:val="center"/>
                    <w:rPr>
                      <w:b/>
                      <w:szCs w:val="21"/>
                    </w:rPr>
                  </w:pPr>
                  <w:r>
                    <w:rPr>
                      <w:b/>
                      <w:szCs w:val="21"/>
                    </w:rPr>
                    <w:t>项目</w:t>
                  </w:r>
                </w:p>
              </w:tc>
              <w:tc>
                <w:tcPr>
                  <w:tcW w:w="1357" w:type="dxa"/>
                  <w:vAlign w:val="center"/>
                </w:tcPr>
                <w:p>
                  <w:pPr>
                    <w:pStyle w:val="49"/>
                    <w:widowControl w:val="0"/>
                    <w:pBdr>
                      <w:bottom w:val="none" w:color="auto" w:sz="0" w:space="0"/>
                    </w:pBdr>
                    <w:spacing w:before="0" w:after="0" w:line="320" w:lineRule="exact"/>
                    <w:rPr>
                      <w:rFonts w:ascii="Times New Roman" w:hAnsi="Times New Roman"/>
                      <w:b/>
                      <w:kern w:val="2"/>
                      <w:szCs w:val="21"/>
                    </w:rPr>
                  </w:pPr>
                  <w:r>
                    <w:rPr>
                      <w:rFonts w:ascii="Times New Roman" w:hAnsi="Times New Roman"/>
                      <w:b/>
                      <w:kern w:val="2"/>
                      <w:szCs w:val="21"/>
                    </w:rPr>
                    <w:t>pH</w:t>
                  </w:r>
                </w:p>
              </w:tc>
              <w:tc>
                <w:tcPr>
                  <w:tcW w:w="1386" w:type="dxa"/>
                  <w:vAlign w:val="center"/>
                </w:tcPr>
                <w:p>
                  <w:pPr>
                    <w:spacing w:line="320" w:lineRule="exact"/>
                    <w:jc w:val="center"/>
                    <w:rPr>
                      <w:b/>
                      <w:szCs w:val="21"/>
                    </w:rPr>
                  </w:pPr>
                  <w:r>
                    <w:rPr>
                      <w:b/>
                      <w:bCs/>
                      <w:szCs w:val="21"/>
                    </w:rPr>
                    <w:t>COD</w:t>
                  </w:r>
                </w:p>
              </w:tc>
              <w:tc>
                <w:tcPr>
                  <w:tcW w:w="1298" w:type="dxa"/>
                  <w:vAlign w:val="center"/>
                </w:tcPr>
                <w:p>
                  <w:pPr>
                    <w:spacing w:line="320" w:lineRule="exact"/>
                    <w:jc w:val="center"/>
                    <w:rPr>
                      <w:b/>
                      <w:szCs w:val="21"/>
                    </w:rPr>
                  </w:pPr>
                  <w:r>
                    <w:rPr>
                      <w:b/>
                      <w:szCs w:val="21"/>
                    </w:rPr>
                    <w:t>NH</w:t>
                  </w:r>
                  <w:r>
                    <w:rPr>
                      <w:b/>
                      <w:szCs w:val="21"/>
                      <w:vertAlign w:val="subscript"/>
                    </w:rPr>
                    <w:t>3</w:t>
                  </w:r>
                  <w:r>
                    <w:rPr>
                      <w:b/>
                      <w:szCs w:val="21"/>
                    </w:rPr>
                    <w:t>-N</w:t>
                  </w:r>
                </w:p>
              </w:tc>
              <w:tc>
                <w:tcPr>
                  <w:tcW w:w="1411" w:type="dxa"/>
                  <w:vAlign w:val="center"/>
                </w:tcPr>
                <w:p>
                  <w:pPr>
                    <w:spacing w:line="320" w:lineRule="exact"/>
                    <w:jc w:val="center"/>
                    <w:rPr>
                      <w:b/>
                      <w:szCs w:val="21"/>
                    </w:rPr>
                  </w:pPr>
                  <w:r>
                    <w:rPr>
                      <w:b/>
                      <w:szCs w:val="21"/>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W1</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7.31-7.37</w:t>
                  </w:r>
                </w:p>
              </w:tc>
              <w:tc>
                <w:tcPr>
                  <w:tcW w:w="1386" w:type="dxa"/>
                  <w:vAlign w:val="center"/>
                </w:tcPr>
                <w:p>
                  <w:pPr>
                    <w:jc w:val="center"/>
                    <w:rPr>
                      <w:szCs w:val="21"/>
                    </w:rPr>
                  </w:pPr>
                  <w:r>
                    <w:rPr>
                      <w:szCs w:val="21"/>
                    </w:rPr>
                    <w:t>12-19</w:t>
                  </w:r>
                </w:p>
              </w:tc>
              <w:tc>
                <w:tcPr>
                  <w:tcW w:w="1298" w:type="dxa"/>
                  <w:vAlign w:val="center"/>
                </w:tcPr>
                <w:p>
                  <w:pPr>
                    <w:jc w:val="center"/>
                    <w:rPr>
                      <w:szCs w:val="21"/>
                    </w:rPr>
                  </w:pPr>
                  <w:r>
                    <w:rPr>
                      <w:szCs w:val="21"/>
                    </w:rPr>
                    <w:t>0.249-0.281</w:t>
                  </w:r>
                </w:p>
              </w:tc>
              <w:tc>
                <w:tcPr>
                  <w:tcW w:w="1411" w:type="dxa"/>
                  <w:vAlign w:val="center"/>
                </w:tcPr>
                <w:p>
                  <w:pPr>
                    <w:jc w:val="center"/>
                    <w:rPr>
                      <w:szCs w:val="21"/>
                    </w:rPr>
                  </w:pPr>
                  <w:r>
                    <w:rPr>
                      <w:szCs w:val="21"/>
                    </w:rPr>
                    <w:t>0.166-0.212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0.185</w:t>
                  </w:r>
                </w:p>
              </w:tc>
              <w:tc>
                <w:tcPr>
                  <w:tcW w:w="1386" w:type="dxa"/>
                  <w:vAlign w:val="center"/>
                </w:tcPr>
                <w:p>
                  <w:pPr>
                    <w:spacing w:line="320" w:lineRule="exact"/>
                    <w:jc w:val="center"/>
                    <w:rPr>
                      <w:szCs w:val="21"/>
                    </w:rPr>
                  </w:pPr>
                  <w:r>
                    <w:rPr>
                      <w:szCs w:val="21"/>
                    </w:rPr>
                    <w:t>0.37</w:t>
                  </w:r>
                </w:p>
              </w:tc>
              <w:tc>
                <w:tcPr>
                  <w:tcW w:w="1298" w:type="dxa"/>
                  <w:vAlign w:val="center"/>
                </w:tcPr>
                <w:p>
                  <w:pPr>
                    <w:spacing w:line="320" w:lineRule="exact"/>
                    <w:jc w:val="center"/>
                    <w:rPr>
                      <w:szCs w:val="21"/>
                    </w:rPr>
                  </w:pPr>
                  <w:r>
                    <w:rPr>
                      <w:szCs w:val="21"/>
                    </w:rPr>
                    <w:t>0.187</w:t>
                  </w:r>
                </w:p>
              </w:tc>
              <w:tc>
                <w:tcPr>
                  <w:tcW w:w="1411" w:type="dxa"/>
                  <w:vAlign w:val="center"/>
                </w:tcPr>
                <w:p>
                  <w:pPr>
                    <w:spacing w:line="320" w:lineRule="exact"/>
                    <w:jc w:val="center"/>
                    <w:rPr>
                      <w:szCs w:val="21"/>
                    </w:rPr>
                  </w:pPr>
                  <w:r>
                    <w:rPr>
                      <w:szCs w:val="21"/>
                    </w:rPr>
                    <w:t>0.707</w:t>
                  </w:r>
                </w:p>
                <w:p>
                  <w:pPr>
                    <w:pStyle w:val="2"/>
                  </w:pPr>
                  <w:r>
                    <w:t>80</w:t>
                  </w:r>
                </w:p>
                <w:p>
                  <w:pPr>
                    <w:pStyle w:val="2"/>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restart"/>
                  <w:vAlign w:val="center"/>
                </w:tcPr>
                <w:p>
                  <w:pPr>
                    <w:spacing w:line="320" w:lineRule="exact"/>
                    <w:jc w:val="center"/>
                    <w:rPr>
                      <w:szCs w:val="21"/>
                    </w:rPr>
                  </w:pPr>
                  <w:r>
                    <w:rPr>
                      <w:szCs w:val="21"/>
                    </w:rPr>
                    <w:t>W2</w:t>
                  </w:r>
                </w:p>
              </w:tc>
              <w:tc>
                <w:tcPr>
                  <w:tcW w:w="1938" w:type="dxa"/>
                  <w:vAlign w:val="center"/>
                </w:tcPr>
                <w:p>
                  <w:pPr>
                    <w:spacing w:line="320" w:lineRule="exact"/>
                    <w:jc w:val="center"/>
                    <w:rPr>
                      <w:szCs w:val="21"/>
                    </w:rPr>
                  </w:pPr>
                  <w:r>
                    <w:rPr>
                      <w:szCs w:val="21"/>
                    </w:rPr>
                    <w:t>浓度范围mg/L</w:t>
                  </w:r>
                </w:p>
              </w:tc>
              <w:tc>
                <w:tcPr>
                  <w:tcW w:w="1357" w:type="dxa"/>
                  <w:vAlign w:val="center"/>
                </w:tcPr>
                <w:p>
                  <w:pPr>
                    <w:jc w:val="center"/>
                    <w:rPr>
                      <w:szCs w:val="21"/>
                    </w:rPr>
                  </w:pPr>
                  <w:r>
                    <w:rPr>
                      <w:szCs w:val="21"/>
                    </w:rPr>
                    <w:t>6.99-7.05</w:t>
                  </w:r>
                </w:p>
              </w:tc>
              <w:tc>
                <w:tcPr>
                  <w:tcW w:w="1386" w:type="dxa"/>
                  <w:vAlign w:val="center"/>
                </w:tcPr>
                <w:p>
                  <w:pPr>
                    <w:jc w:val="center"/>
                    <w:rPr>
                      <w:szCs w:val="21"/>
                    </w:rPr>
                  </w:pPr>
                  <w:r>
                    <w:rPr>
                      <w:szCs w:val="21"/>
                    </w:rPr>
                    <w:t>21-28</w:t>
                  </w:r>
                </w:p>
              </w:tc>
              <w:tc>
                <w:tcPr>
                  <w:tcW w:w="1298" w:type="dxa"/>
                  <w:vAlign w:val="center"/>
                </w:tcPr>
                <w:p>
                  <w:pPr>
                    <w:jc w:val="center"/>
                    <w:rPr>
                      <w:szCs w:val="21"/>
                    </w:rPr>
                  </w:pPr>
                  <w:r>
                    <w:rPr>
                      <w:szCs w:val="21"/>
                    </w:rPr>
                    <w:t>0.295-0.316</w:t>
                  </w:r>
                </w:p>
              </w:tc>
              <w:tc>
                <w:tcPr>
                  <w:tcW w:w="1411" w:type="dxa"/>
                  <w:vAlign w:val="center"/>
                </w:tcPr>
                <w:p>
                  <w:pPr>
                    <w:jc w:val="center"/>
                    <w:rPr>
                      <w:szCs w:val="21"/>
                    </w:rPr>
                  </w:pPr>
                  <w:r>
                    <w:rPr>
                      <w:szCs w:val="21"/>
                    </w:rPr>
                    <w:t>0.236-0.284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最大污染指数</w:t>
                  </w:r>
                </w:p>
              </w:tc>
              <w:tc>
                <w:tcPr>
                  <w:tcW w:w="1357" w:type="dxa"/>
                  <w:vAlign w:val="center"/>
                </w:tcPr>
                <w:p>
                  <w:pPr>
                    <w:spacing w:line="320" w:lineRule="exact"/>
                    <w:jc w:val="center"/>
                    <w:rPr>
                      <w:szCs w:val="21"/>
                    </w:rPr>
                  </w:pPr>
                  <w:r>
                    <w:rPr>
                      <w:szCs w:val="21"/>
                    </w:rPr>
                    <w:t>0.03</w:t>
                  </w:r>
                </w:p>
              </w:tc>
              <w:tc>
                <w:tcPr>
                  <w:tcW w:w="1386" w:type="dxa"/>
                  <w:vAlign w:val="center"/>
                </w:tcPr>
                <w:p>
                  <w:pPr>
                    <w:spacing w:line="320" w:lineRule="exact"/>
                    <w:jc w:val="center"/>
                    <w:rPr>
                      <w:szCs w:val="21"/>
                    </w:rPr>
                  </w:pPr>
                  <w:r>
                    <w:rPr>
                      <w:szCs w:val="21"/>
                    </w:rPr>
                    <w:t>0.93</w:t>
                  </w:r>
                </w:p>
              </w:tc>
              <w:tc>
                <w:tcPr>
                  <w:tcW w:w="1298" w:type="dxa"/>
                  <w:vAlign w:val="center"/>
                </w:tcPr>
                <w:p>
                  <w:pPr>
                    <w:spacing w:line="320" w:lineRule="exact"/>
                    <w:jc w:val="center"/>
                    <w:rPr>
                      <w:szCs w:val="21"/>
                    </w:rPr>
                  </w:pPr>
                  <w:r>
                    <w:rPr>
                      <w:szCs w:val="21"/>
                    </w:rPr>
                    <w:t>0.211</w:t>
                  </w:r>
                </w:p>
              </w:tc>
              <w:tc>
                <w:tcPr>
                  <w:tcW w:w="1411" w:type="dxa"/>
                  <w:vAlign w:val="center"/>
                </w:tcPr>
                <w:p>
                  <w:pPr>
                    <w:spacing w:line="320" w:lineRule="exact"/>
                    <w:jc w:val="center"/>
                    <w:rPr>
                      <w:szCs w:val="21"/>
                    </w:rPr>
                  </w:pPr>
                  <w:r>
                    <w:rPr>
                      <w:szCs w:val="21"/>
                    </w:rPr>
                    <w:t>0.947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超标率％</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cr/>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2" w:type="dxa"/>
                  <w:vMerge w:val="continue"/>
                  <w:vAlign w:val="center"/>
                </w:tcPr>
                <w:p>
                  <w:pPr>
                    <w:spacing w:line="320" w:lineRule="exact"/>
                    <w:jc w:val="center"/>
                    <w:rPr>
                      <w:szCs w:val="21"/>
                    </w:rPr>
                  </w:pPr>
                </w:p>
              </w:tc>
              <w:tc>
                <w:tcPr>
                  <w:tcW w:w="1938" w:type="dxa"/>
                  <w:vAlign w:val="center"/>
                </w:tcPr>
                <w:p>
                  <w:pPr>
                    <w:spacing w:line="320" w:lineRule="exact"/>
                    <w:jc w:val="center"/>
                    <w:rPr>
                      <w:szCs w:val="21"/>
                    </w:rPr>
                  </w:pPr>
                  <w:r>
                    <w:rPr>
                      <w:szCs w:val="21"/>
                    </w:rPr>
                    <w:t>最大超标倍数</w:t>
                  </w:r>
                </w:p>
              </w:tc>
              <w:tc>
                <w:tcPr>
                  <w:tcW w:w="1357" w:type="dxa"/>
                  <w:vAlign w:val="center"/>
                </w:tcPr>
                <w:p>
                  <w:pPr>
                    <w:spacing w:line="320" w:lineRule="exact"/>
                    <w:jc w:val="center"/>
                    <w:rPr>
                      <w:szCs w:val="21"/>
                    </w:rPr>
                  </w:pPr>
                  <w:r>
                    <w:rPr>
                      <w:szCs w:val="21"/>
                    </w:rPr>
                    <w:t>0</w:t>
                  </w:r>
                </w:p>
              </w:tc>
              <w:tc>
                <w:tcPr>
                  <w:tcW w:w="1386" w:type="dxa"/>
                  <w:vAlign w:val="center"/>
                </w:tcPr>
                <w:p>
                  <w:pPr>
                    <w:spacing w:line="320" w:lineRule="exact"/>
                    <w:jc w:val="center"/>
                    <w:rPr>
                      <w:szCs w:val="21"/>
                    </w:rPr>
                  </w:pPr>
                  <w:r>
                    <w:rPr>
                      <w:szCs w:val="21"/>
                    </w:rPr>
                    <w:t>0</w:t>
                  </w:r>
                </w:p>
              </w:tc>
              <w:tc>
                <w:tcPr>
                  <w:tcW w:w="1298" w:type="dxa"/>
                  <w:vAlign w:val="center"/>
                </w:tcPr>
                <w:p>
                  <w:pPr>
                    <w:spacing w:line="320" w:lineRule="exact"/>
                    <w:jc w:val="center"/>
                    <w:rPr>
                      <w:szCs w:val="21"/>
                    </w:rPr>
                  </w:pPr>
                  <w:r>
                    <w:rPr>
                      <w:szCs w:val="21"/>
                    </w:rPr>
                    <w:t>0</w:t>
                  </w:r>
                </w:p>
              </w:tc>
              <w:tc>
                <w:tcPr>
                  <w:tcW w:w="1411" w:type="dxa"/>
                  <w:vAlign w:val="center"/>
                </w:tcPr>
                <w:p>
                  <w:pPr>
                    <w:spacing w:line="320" w:lineRule="exact"/>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860" w:type="dxa"/>
                  <w:gridSpan w:val="2"/>
                  <w:vAlign w:val="center"/>
                </w:tcPr>
                <w:p>
                  <w:pPr>
                    <w:spacing w:line="320" w:lineRule="exact"/>
                    <w:jc w:val="center"/>
                    <w:rPr>
                      <w:szCs w:val="21"/>
                    </w:rPr>
                  </w:pPr>
                  <w:r>
                    <w:rPr>
                      <w:szCs w:val="21"/>
                    </w:rPr>
                    <w:t>地表水</w:t>
                  </w:r>
                  <w:r>
                    <w:rPr>
                      <w:rFonts w:hint="eastAsia" w:ascii="宋体" w:hAnsi="宋体" w:cs="宋体"/>
                      <w:szCs w:val="21"/>
                    </w:rPr>
                    <w:t>Ⅳ</w:t>
                  </w:r>
                  <w:r>
                    <w:rPr>
                      <w:szCs w:val="21"/>
                    </w:rPr>
                    <w:t>类标准</w:t>
                  </w:r>
                </w:p>
              </w:tc>
              <w:tc>
                <w:tcPr>
                  <w:tcW w:w="1357" w:type="dxa"/>
                  <w:vAlign w:val="center"/>
                </w:tcPr>
                <w:p>
                  <w:pPr>
                    <w:spacing w:line="320" w:lineRule="exact"/>
                    <w:jc w:val="center"/>
                    <w:rPr>
                      <w:szCs w:val="21"/>
                    </w:rPr>
                  </w:pPr>
                  <w:r>
                    <w:rPr>
                      <w:szCs w:val="21"/>
                    </w:rPr>
                    <w:t>6～9</w:t>
                  </w:r>
                </w:p>
              </w:tc>
              <w:tc>
                <w:tcPr>
                  <w:tcW w:w="1386" w:type="dxa"/>
                  <w:vAlign w:val="center"/>
                </w:tcPr>
                <w:p>
                  <w:pPr>
                    <w:spacing w:line="320" w:lineRule="exact"/>
                    <w:jc w:val="center"/>
                    <w:rPr>
                      <w:szCs w:val="21"/>
                    </w:rPr>
                  </w:pPr>
                  <w:r>
                    <w:rPr>
                      <w:szCs w:val="21"/>
                    </w:rPr>
                    <w:t>30</w:t>
                  </w:r>
                </w:p>
              </w:tc>
              <w:tc>
                <w:tcPr>
                  <w:tcW w:w="1298" w:type="dxa"/>
                  <w:vAlign w:val="center"/>
                </w:tcPr>
                <w:p>
                  <w:pPr>
                    <w:spacing w:line="320" w:lineRule="exact"/>
                    <w:jc w:val="center"/>
                    <w:rPr>
                      <w:szCs w:val="21"/>
                    </w:rPr>
                  </w:pPr>
                  <w:r>
                    <w:rPr>
                      <w:szCs w:val="21"/>
                    </w:rPr>
                    <w:t>1.5</w:t>
                  </w:r>
                </w:p>
              </w:tc>
              <w:tc>
                <w:tcPr>
                  <w:tcW w:w="1411" w:type="dxa"/>
                  <w:vAlign w:val="center"/>
                </w:tcPr>
                <w:p>
                  <w:pPr>
                    <w:spacing w:line="320" w:lineRule="exact"/>
                    <w:jc w:val="center"/>
                    <w:rPr>
                      <w:szCs w:val="21"/>
                    </w:rPr>
                  </w:pPr>
                  <w:r>
                    <w:rPr>
                      <w:szCs w:val="21"/>
                    </w:rPr>
                    <w:t>0.3</w:t>
                  </w:r>
                </w:p>
              </w:tc>
            </w:tr>
          </w:tbl>
          <w:p>
            <w:pPr>
              <w:spacing w:line="480" w:lineRule="exact"/>
              <w:ind w:firstLine="480" w:firstLineChars="200"/>
              <w:rPr>
                <w:sz w:val="24"/>
                <w:szCs w:val="28"/>
              </w:rPr>
            </w:pPr>
            <w:r>
              <w:rPr>
                <w:sz w:val="24"/>
              </w:rPr>
              <w:t>由表3-</w:t>
            </w:r>
            <w:r>
              <w:rPr>
                <w:rFonts w:hint="eastAsia"/>
                <w:sz w:val="24"/>
                <w:lang w:val="en-US" w:eastAsia="zh-CN"/>
              </w:rPr>
              <w:t>3</w:t>
            </w:r>
            <w:r>
              <w:rPr>
                <w:sz w:val="24"/>
              </w:rPr>
              <w:t>可知，地表水水质现状评价结果表明，</w:t>
            </w:r>
            <w:r>
              <w:rPr>
                <w:sz w:val="24"/>
                <w:szCs w:val="28"/>
              </w:rPr>
              <w:t>采菱港W1、W2断面的各监测项目均能达到《地表水环境质量标准》中</w:t>
            </w:r>
            <w:r>
              <w:rPr>
                <w:rFonts w:hint="eastAsia" w:ascii="宋体" w:hAnsi="宋体" w:cs="宋体"/>
                <w:sz w:val="24"/>
                <w:szCs w:val="28"/>
              </w:rPr>
              <w:t>Ⅳ</w:t>
            </w:r>
            <w:r>
              <w:rPr>
                <w:sz w:val="24"/>
                <w:szCs w:val="28"/>
              </w:rPr>
              <w:t>类地表水标准限值，</w:t>
            </w:r>
            <w:r>
              <w:rPr>
                <w:sz w:val="24"/>
              </w:rPr>
              <w:t>说明区域水环境质量较好</w:t>
            </w:r>
            <w:r>
              <w:rPr>
                <w:sz w:val="24"/>
                <w:szCs w:val="28"/>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、声环境质量现状</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为了解项目所在地声环境质量现状，委托</w:t>
            </w:r>
            <w:r>
              <w:rPr>
                <w:sz w:val="24"/>
              </w:rPr>
              <w:t>常州佳蓝环境检测有限公司</w:t>
            </w:r>
            <w:r>
              <w:rPr>
                <w:rFonts w:ascii="Times New Roman" w:hAnsi="Times New Roman" w:eastAsia="宋体" w:cs="Times New Roman"/>
                <w:color w:val="auto"/>
                <w:sz w:val="24"/>
                <w:lang w:bidi="ar"/>
              </w:rPr>
              <w:t>于201</w:t>
            </w:r>
            <w:r>
              <w:rPr>
                <w:rFonts w:hint="eastAsia" w:ascii="Times New Roman" w:hAnsi="Times New Roman" w:eastAsia="宋体" w:cs="Times New Roman"/>
                <w:color w:val="auto"/>
                <w:sz w:val="24"/>
                <w:lang w:val="en-US" w:eastAsia="zh-CN" w:bidi="ar"/>
              </w:rPr>
              <w:t>9</w:t>
            </w:r>
            <w:r>
              <w:rPr>
                <w:rFonts w:hint="eastAsia" w:ascii="宋体" w:hAnsi="宋体" w:eastAsia="宋体" w:cs="宋体"/>
                <w:color w:val="auto"/>
                <w:sz w:val="24"/>
                <w:lang w:bidi="ar"/>
              </w:rPr>
              <w:t>年</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27</w:t>
            </w:r>
            <w:r>
              <w:rPr>
                <w:rFonts w:ascii="Times New Roman" w:hAnsi="Times New Roman" w:eastAsia="宋体" w:cs="Times New Roman"/>
                <w:color w:val="auto"/>
                <w:sz w:val="24"/>
                <w:lang w:bidi="ar"/>
              </w:rPr>
              <w:t>日-</w:t>
            </w:r>
            <w:r>
              <w:rPr>
                <w:rFonts w:hint="eastAsia" w:ascii="Times New Roman" w:hAnsi="Times New Roman" w:eastAsia="宋体" w:cs="Times New Roman"/>
                <w:color w:val="auto"/>
                <w:sz w:val="24"/>
                <w:lang w:val="en-US" w:eastAsia="zh-CN" w:bidi="ar"/>
              </w:rPr>
              <w:t>5</w:t>
            </w:r>
            <w:r>
              <w:rPr>
                <w:rFonts w:ascii="Times New Roman" w:hAnsi="Times New Roman" w:eastAsia="宋体" w:cs="Times New Roman"/>
                <w:color w:val="auto"/>
                <w:sz w:val="24"/>
                <w:lang w:bidi="ar"/>
              </w:rPr>
              <w:t>月</w:t>
            </w:r>
            <w:r>
              <w:rPr>
                <w:rFonts w:hint="eastAsia" w:ascii="Times New Roman" w:hAnsi="Times New Roman" w:eastAsia="宋体" w:cs="Times New Roman"/>
                <w:color w:val="auto"/>
                <w:sz w:val="24"/>
                <w:lang w:val="en-US" w:eastAsia="zh-CN" w:bidi="ar"/>
              </w:rPr>
              <w:t>28</w:t>
            </w:r>
            <w:r>
              <w:rPr>
                <w:rFonts w:ascii="Times New Roman" w:hAnsi="Times New Roman" w:eastAsia="宋体" w:cs="Times New Roman"/>
                <w:color w:val="auto"/>
                <w:sz w:val="24"/>
                <w:lang w:bidi="ar"/>
              </w:rPr>
              <w:t>日对项目厂界四周进行的现场噪声监测，监测结果见表3-</w:t>
            </w:r>
            <w:r>
              <w:rPr>
                <w:rFonts w:hint="eastAsia" w:ascii="Times New Roman" w:hAnsi="Times New Roman" w:eastAsia="宋体" w:cs="Times New Roman"/>
                <w:color w:val="auto"/>
                <w:sz w:val="24"/>
                <w:lang w:val="en-US" w:eastAsia="zh-CN" w:bidi="ar"/>
              </w:rPr>
              <w:t>6</w:t>
            </w:r>
            <w:r>
              <w:rPr>
                <w:rFonts w:hint="eastAsia" w:ascii="宋体" w:hAnsi="宋体" w:eastAsia="宋体" w:cs="宋体"/>
                <w:color w:val="auto"/>
                <w:sz w:val="24"/>
                <w:lang w:bidi="ar"/>
              </w:rPr>
              <w:t>。</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val="en-US" w:eastAsia="zh-CN" w:bidi="ar"/>
              </w:rPr>
              <w:t>6</w:t>
            </w:r>
            <w:r>
              <w:rPr>
                <w:rFonts w:hint="eastAsia" w:ascii="宋体" w:hAnsi="宋体" w:eastAsia="宋体" w:cs="宋体"/>
                <w:b/>
                <w:color w:val="auto"/>
                <w:sz w:val="24"/>
                <w:lang w:bidi="ar"/>
              </w:rPr>
              <w:t>噪声现状监测结果统计表单位：</w:t>
            </w:r>
            <w:r>
              <w:rPr>
                <w:rFonts w:ascii="Times New Roman" w:hAnsi="Times New Roman" w:eastAsia="宋体" w:cs="Times New Roman"/>
                <w:b/>
                <w:color w:val="auto"/>
                <w:sz w:val="24"/>
                <w:lang w:bidi="ar"/>
              </w:rPr>
              <w:t>dB</w:t>
            </w:r>
            <w:r>
              <w:rPr>
                <w:rFonts w:hint="eastAsia" w:ascii="宋体" w:hAnsi="宋体" w:eastAsia="宋体" w:cs="宋体"/>
                <w:b/>
                <w:color w:val="auto"/>
                <w:sz w:val="24"/>
                <w:lang w:bidi="ar"/>
              </w:rPr>
              <w:t>（</w:t>
            </w:r>
            <w:r>
              <w:rPr>
                <w:rFonts w:ascii="Times New Roman" w:hAnsi="Times New Roman" w:eastAsia="宋体" w:cs="Times New Roman"/>
                <w:b/>
                <w:color w:val="auto"/>
                <w:sz w:val="24"/>
                <w:lang w:bidi="ar"/>
              </w:rPr>
              <w:t>A</w:t>
            </w:r>
            <w:r>
              <w:rPr>
                <w:rFonts w:hint="eastAsia" w:ascii="宋体" w:hAnsi="宋体" w:eastAsia="宋体" w:cs="宋体"/>
                <w:b/>
                <w:color w:val="auto"/>
                <w:sz w:val="24"/>
                <w:lang w:bidi="ar"/>
              </w:rPr>
              <w:t>）</w:t>
            </w:r>
          </w:p>
          <w:tbl>
            <w:tblPr>
              <w:tblStyle w:val="16"/>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3"/>
              <w:gridCol w:w="2"/>
              <w:gridCol w:w="1496"/>
              <w:gridCol w:w="1"/>
              <w:gridCol w:w="1496"/>
              <w:gridCol w:w="1"/>
              <w:gridCol w:w="1643"/>
              <w:gridCol w:w="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 w:val="21"/>
                      <w:szCs w:val="21"/>
                    </w:rPr>
                  </w:pPr>
                  <w:r>
                    <w:rPr>
                      <w:rFonts w:hint="eastAsia"/>
                      <w:color w:val="auto"/>
                      <w:sz w:val="21"/>
                      <w:szCs w:val="21"/>
                      <w:lang w:val="en-US" w:eastAsia="zh-CN"/>
                    </w:rPr>
                    <w:t>项目</w:t>
                  </w:r>
                </w:p>
              </w:tc>
              <w:tc>
                <w:tcPr>
                  <w:tcW w:w="1498"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N1</w:t>
                  </w:r>
                  <w:r>
                    <w:rPr>
                      <w:rFonts w:hint="eastAsia" w:ascii="宋体" w:hAnsi="宋体" w:cs="宋体"/>
                      <w:color w:val="auto"/>
                      <w:sz w:val="21"/>
                      <w:szCs w:val="21"/>
                    </w:rPr>
                    <w:t>（东厂界</w:t>
                  </w:r>
                  <w:r>
                    <w:rPr>
                      <w:color w:val="auto"/>
                      <w:sz w:val="21"/>
                      <w:szCs w:val="21"/>
                    </w:rPr>
                    <w:t>）</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N2</w:t>
                  </w:r>
                  <w:r>
                    <w:rPr>
                      <w:rFonts w:hint="eastAsia" w:ascii="宋体" w:hAnsi="宋体" w:cs="宋体"/>
                      <w:color w:val="auto"/>
                      <w:sz w:val="21"/>
                      <w:szCs w:val="21"/>
                    </w:rPr>
                    <w:t>（南厂界</w:t>
                  </w:r>
                  <w:r>
                    <w:rPr>
                      <w:color w:val="auto"/>
                      <w:sz w:val="21"/>
                      <w:szCs w:val="21"/>
                    </w:rPr>
                    <w:t>）</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N3</w:t>
                  </w:r>
                  <w:r>
                    <w:rPr>
                      <w:rFonts w:hint="eastAsia" w:ascii="宋体" w:hAnsi="宋体" w:cs="宋体"/>
                      <w:color w:val="auto"/>
                      <w:sz w:val="21"/>
                      <w:szCs w:val="21"/>
                    </w:rPr>
                    <w:t>（西厂界</w:t>
                  </w:r>
                  <w:r>
                    <w:rPr>
                      <w:color w:val="auto"/>
                      <w:sz w:val="21"/>
                      <w:szCs w:val="21"/>
                    </w:rPr>
                    <w:t>）</w:t>
                  </w:r>
                </w:p>
              </w:tc>
              <w:tc>
                <w:tcPr>
                  <w:tcW w:w="172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N4</w:t>
                  </w:r>
                  <w:r>
                    <w:rPr>
                      <w:rFonts w:hint="eastAsia" w:ascii="宋体" w:hAnsi="宋体" w:cs="宋体"/>
                      <w:color w:val="auto"/>
                      <w:sz w:val="21"/>
                      <w:szCs w:val="21"/>
                    </w:rPr>
                    <w:t>（北厂界</w:t>
                  </w: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54"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27日</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昼间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48.2</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default" w:eastAsia="宋体"/>
                      <w:color w:val="auto"/>
                      <w:sz w:val="21"/>
                      <w:szCs w:val="21"/>
                      <w:lang w:val="en-US" w:eastAsia="zh-CN"/>
                    </w:rPr>
                    <w:t>48.4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49.0</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54"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eastAsia" w:eastAsia="宋体"/>
                      <w:color w:val="auto"/>
                      <w:sz w:val="21"/>
                      <w:szCs w:val="21"/>
                      <w:lang w:val="en-US" w:eastAsia="zh-CN"/>
                    </w:rPr>
                  </w:pPr>
                  <w:r>
                    <w:rPr>
                      <w:rFonts w:hint="eastAsia"/>
                      <w:color w:val="auto"/>
                      <w:sz w:val="21"/>
                      <w:szCs w:val="21"/>
                      <w:lang w:val="en-US" w:eastAsia="zh-CN"/>
                    </w:rPr>
                    <w:t>夜间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44.9</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45.8</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54" w:type="dxa"/>
                  <w:vMerge w:val="restart"/>
                  <w:tcBorders>
                    <w:top w:val="single" w:color="auto" w:sz="4" w:space="0"/>
                    <w:left w:val="single" w:color="auto" w:sz="4" w:space="0"/>
                    <w:right w:val="single" w:color="auto" w:sz="4" w:space="0"/>
                  </w:tcBorders>
                  <w:shd w:val="clear" w:color="auto" w:fill="auto"/>
                  <w:vAlign w:val="center"/>
                </w:tcPr>
                <w:p>
                  <w:pPr>
                    <w:pStyle w:val="23"/>
                    <w:widowControl/>
                    <w:rPr>
                      <w:color w:val="auto"/>
                      <w:sz w:val="21"/>
                      <w:szCs w:val="21"/>
                    </w:rPr>
                  </w:pPr>
                  <w:r>
                    <w:rPr>
                      <w:color w:val="auto"/>
                      <w:sz w:val="21"/>
                      <w:szCs w:val="21"/>
                    </w:rPr>
                    <w:t>201</w:t>
                  </w:r>
                  <w:r>
                    <w:rPr>
                      <w:rFonts w:hint="eastAsia"/>
                      <w:color w:val="auto"/>
                      <w:sz w:val="21"/>
                      <w:szCs w:val="21"/>
                      <w:lang w:val="en-US" w:eastAsia="zh-CN"/>
                    </w:rPr>
                    <w:t>9</w:t>
                  </w:r>
                  <w:r>
                    <w:rPr>
                      <w:rFonts w:hint="eastAsia" w:ascii="宋体" w:hAnsi="宋体" w:cs="宋体"/>
                      <w:color w:val="auto"/>
                      <w:sz w:val="21"/>
                      <w:szCs w:val="21"/>
                    </w:rPr>
                    <w:t>年</w:t>
                  </w:r>
                  <w:r>
                    <w:rPr>
                      <w:rFonts w:hint="eastAsia"/>
                      <w:color w:val="auto"/>
                      <w:sz w:val="21"/>
                      <w:szCs w:val="21"/>
                      <w:lang w:val="en-US" w:eastAsia="zh-CN"/>
                    </w:rPr>
                    <w:t>5</w:t>
                  </w:r>
                  <w:r>
                    <w:rPr>
                      <w:rFonts w:hint="eastAsia" w:ascii="宋体" w:hAnsi="宋体" w:cs="宋体"/>
                      <w:color w:val="auto"/>
                      <w:sz w:val="21"/>
                      <w:szCs w:val="21"/>
                    </w:rPr>
                    <w:t>月</w:t>
                  </w:r>
                  <w:r>
                    <w:rPr>
                      <w:rFonts w:hint="eastAsia"/>
                      <w:color w:val="auto"/>
                      <w:sz w:val="21"/>
                      <w:szCs w:val="21"/>
                      <w:lang w:val="en-US" w:eastAsia="zh-CN"/>
                    </w:rPr>
                    <w:t>28日</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昼间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48.1</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48.9</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49.3</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54"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color w:val="auto"/>
                      <w:sz w:val="21"/>
                      <w:szCs w:val="21"/>
                    </w:rPr>
                  </w:pPr>
                  <w:r>
                    <w:rPr>
                      <w:rFonts w:hint="eastAsia"/>
                      <w:color w:val="auto"/>
                      <w:sz w:val="21"/>
                      <w:szCs w:val="21"/>
                      <w:lang w:val="en-US" w:eastAsia="zh-CN"/>
                    </w:rPr>
                    <w:t>夜间</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45.1</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lang w:val="en-US" w:eastAsia="zh-CN"/>
                    </w:rPr>
                  </w:pPr>
                  <w:r>
                    <w:rPr>
                      <w:rFonts w:hint="eastAsia"/>
                      <w:lang w:val="en-US" w:eastAsia="zh-CN"/>
                    </w:rPr>
                    <w:t>45.4</w:t>
                  </w:r>
                </w:p>
              </w:tc>
              <w:tc>
                <w:tcPr>
                  <w:tcW w:w="1644"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44.9</w:t>
                  </w:r>
                </w:p>
              </w:tc>
              <w:tc>
                <w:tcPr>
                  <w:tcW w:w="1723"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eastAsia="宋体"/>
                      <w:color w:val="auto"/>
                      <w:sz w:val="21"/>
                      <w:szCs w:val="21"/>
                      <w:lang w:val="en-US" w:eastAsia="zh-CN"/>
                    </w:rPr>
                  </w:pPr>
                  <w:r>
                    <w:rPr>
                      <w:rFonts w:hint="eastAsia"/>
                      <w:color w:val="auto"/>
                      <w:sz w:val="21"/>
                      <w:szCs w:val="21"/>
                      <w:lang w:val="en-US" w:eastAsia="zh-CN"/>
                    </w:rPr>
                    <w:t>44.8</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监测结果表明，项目所在地经东、南、西、北厂界噪声均符合《声环境质量标准》（GB3096-2008</w:t>
            </w:r>
            <w:r>
              <w:rPr>
                <w:rFonts w:hint="eastAsia" w:ascii="宋体" w:hAnsi="宋体" w:eastAsia="宋体" w:cs="宋体"/>
                <w:color w:val="auto"/>
                <w:sz w:val="24"/>
                <w:lang w:bidi="ar"/>
              </w:rPr>
              <w:t>）中的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pacing w:after="62" w:afterLines="20"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主要环境保护目标（列出名单及保护级别）：</w:t>
            </w:r>
          </w:p>
          <w:p>
            <w:pPr>
              <w:spacing w:line="360" w:lineRule="auto"/>
              <w:ind w:firstLine="480" w:firstLineChars="200"/>
              <w:rPr>
                <w:rFonts w:ascii="Times New Roman" w:hAnsi="Times New Roman" w:eastAsia="宋体" w:cs="Times New Roman"/>
                <w:b/>
                <w:color w:val="auto"/>
                <w:sz w:val="24"/>
              </w:rPr>
            </w:pPr>
            <w:r>
              <w:rPr>
                <w:rFonts w:hint="eastAsia" w:ascii="宋体" w:hAnsi="宋体" w:eastAsia="宋体" w:cs="Times New Roman"/>
                <w:color w:val="auto"/>
                <w:sz w:val="24"/>
                <w:lang w:bidi="ar"/>
              </w:rPr>
              <w:t>根据现场踏勘，</w:t>
            </w:r>
            <w:r>
              <w:rPr>
                <w:rFonts w:hint="eastAsia" w:ascii="宋体" w:hAnsi="宋体" w:eastAsia="宋体" w:cs="Times New Roman"/>
                <w:color w:val="auto"/>
                <w:sz w:val="24"/>
                <w:lang w:val="en-US" w:eastAsia="zh-CN" w:bidi="ar"/>
              </w:rPr>
              <w:t>主要</w:t>
            </w:r>
            <w:r>
              <w:rPr>
                <w:rFonts w:hint="eastAsia" w:ascii="宋体" w:hAnsi="宋体" w:eastAsia="宋体" w:cs="Times New Roman"/>
                <w:color w:val="auto"/>
                <w:sz w:val="24"/>
                <w:lang w:bidi="ar"/>
              </w:rPr>
              <w:t>环境保护目标见表3-</w:t>
            </w:r>
            <w:r>
              <w:rPr>
                <w:rFonts w:hint="eastAsia" w:ascii="宋体" w:hAnsi="宋体" w:eastAsia="宋体" w:cs="Times New Roman"/>
                <w:color w:val="auto"/>
                <w:sz w:val="24"/>
                <w:lang w:val="en-US" w:eastAsia="zh-CN" w:bidi="ar"/>
              </w:rPr>
              <w:t>7</w:t>
            </w:r>
            <w:r>
              <w:rPr>
                <w:rFonts w:hint="eastAsia" w:ascii="宋体" w:hAnsi="宋体" w:eastAsia="宋体" w:cs="Times New Roman"/>
                <w:color w:val="auto"/>
                <w:sz w:val="24"/>
                <w:lang w:eastAsia="zh-CN" w:bidi="ar"/>
              </w:rPr>
              <w:t>、</w:t>
            </w:r>
            <w:r>
              <w:rPr>
                <w:rFonts w:ascii="Times New Roman" w:hAnsi="Times New Roman" w:eastAsia="宋体" w:cs="Times New Roman"/>
                <w:color w:val="auto"/>
                <w:sz w:val="24"/>
                <w:lang w:bidi="ar"/>
              </w:rPr>
              <w:t>附图。</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表3-</w:t>
            </w:r>
            <w:r>
              <w:rPr>
                <w:rFonts w:hint="eastAsia" w:ascii="Times New Roman" w:hAnsi="Times New Roman" w:eastAsia="宋体" w:cs="Times New Roman"/>
                <w:b/>
                <w:color w:val="auto"/>
                <w:sz w:val="24"/>
                <w:lang w:val="en-US" w:eastAsia="zh-CN" w:bidi="ar"/>
              </w:rPr>
              <w:t>7</w:t>
            </w:r>
            <w:r>
              <w:rPr>
                <w:rFonts w:ascii="Times New Roman" w:hAnsi="Times New Roman" w:eastAsia="宋体" w:cs="Times New Roman"/>
                <w:b/>
                <w:color w:val="auto"/>
                <w:sz w:val="24"/>
                <w:lang w:bidi="ar"/>
              </w:rPr>
              <w:t>主要环境保护目标</w:t>
            </w:r>
          </w:p>
          <w:tbl>
            <w:tblPr>
              <w:tblStyle w:val="16"/>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97"/>
              <w:gridCol w:w="846"/>
              <w:gridCol w:w="1146"/>
              <w:gridCol w:w="961"/>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环境要素</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环境保护目标</w:t>
                  </w:r>
                </w:p>
              </w:tc>
              <w:tc>
                <w:tcPr>
                  <w:tcW w:w="8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方位</w:t>
                  </w:r>
                </w:p>
              </w:tc>
              <w:tc>
                <w:tcPr>
                  <w:tcW w:w="1146"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距项目最近距离（m</w:t>
                  </w:r>
                  <w:r>
                    <w:rPr>
                      <w:rFonts w:hint="eastAsia" w:ascii="宋体" w:hAnsi="宋体" w:cs="宋体"/>
                      <w:b/>
                      <w:color w:val="auto"/>
                    </w:rPr>
                    <w:t>）</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规模（人）</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b/>
                      <w:color w:val="auto"/>
                    </w:rPr>
                  </w:pPr>
                  <w:r>
                    <w:rPr>
                      <w:b/>
                      <w:color w:val="auto"/>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rPr>
                      <w:rFonts w:ascii="宋体" w:hAnsi="宋体" w:eastAsia="宋体" w:cs="宋体"/>
                      <w:color w:val="auto"/>
                      <w:szCs w:val="21"/>
                      <w:highlight w:val="yellow"/>
                    </w:rPr>
                  </w:pPr>
                  <w:r>
                    <w:rPr>
                      <w:rFonts w:hint="eastAsia" w:ascii="宋体" w:hAnsi="宋体" w:eastAsia="宋体" w:cs="宋体"/>
                      <w:color w:val="auto"/>
                      <w:szCs w:val="21"/>
                      <w:lang w:bidi="ar"/>
                    </w:rPr>
                    <w:t>水环境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朝阳河</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宋体" w:hAnsi="宋体" w:eastAsia="宋体" w:cs="宋体"/>
                      <w:color w:val="auto"/>
                      <w:szCs w:val="21"/>
                      <w:highlight w:val="yellow"/>
                      <w:lang w:eastAsia="zh-CN"/>
                    </w:rPr>
                  </w:pPr>
                  <w:r>
                    <w:rPr>
                      <w:rFonts w:hint="eastAsia" w:ascii="宋体" w:hAnsi="宋体" w:eastAsia="宋体" w:cs="宋体"/>
                      <w:color w:val="auto"/>
                      <w:szCs w:val="21"/>
                      <w:lang w:val="en-US" w:eastAsia="zh-CN" w:bidi="ar"/>
                    </w:rPr>
                    <w:t>小河</w:t>
                  </w:r>
                </w:p>
              </w:tc>
              <w:tc>
                <w:tcPr>
                  <w:tcW w:w="2688" w:type="dxa"/>
                  <w:vMerge w:val="restart"/>
                  <w:tcBorders>
                    <w:top w:val="nil"/>
                    <w:left w:val="nil"/>
                    <w:right w:val="single" w:color="auto" w:sz="4" w:space="0"/>
                  </w:tcBorders>
                  <w:shd w:val="clear" w:color="auto" w:fill="auto"/>
                  <w:vAlign w:val="center"/>
                </w:tcPr>
                <w:p>
                  <w:pPr>
                    <w:pStyle w:val="23"/>
                    <w:widowControl/>
                    <w:spacing w:line="240" w:lineRule="auto"/>
                    <w:rPr>
                      <w:color w:val="auto"/>
                      <w:highlight w:val="yellow"/>
                    </w:rPr>
                  </w:pPr>
                  <w:r>
                    <w:rPr>
                      <w:color w:val="auto"/>
                    </w:rPr>
                    <w:t>《地表水环境质量标准》（GB3838-2002</w:t>
                  </w:r>
                  <w:r>
                    <w:rPr>
                      <w:rFonts w:hint="eastAsia" w:ascii="宋体" w:hAnsi="宋体" w:cs="宋体"/>
                      <w:color w:val="auto"/>
                    </w:rPr>
                    <w:t>）</w:t>
                  </w:r>
                  <w:r>
                    <w:rPr>
                      <w:color w:val="auto"/>
                    </w:rPr>
                    <w:t>Ⅳ</w:t>
                  </w:r>
                  <w:r>
                    <w:rPr>
                      <w:rFonts w:hint="eastAsia" w:ascii="宋体" w:hAnsi="宋体" w:cs="宋体"/>
                      <w:color w:val="auto"/>
                    </w:rPr>
                    <w:t>类水质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adjustRightInd w:val="0"/>
                    <w:snapToGrid w:val="0"/>
                    <w:spacing w:line="240" w:lineRule="auto"/>
                    <w:rPr>
                      <w:rFonts w:hint="eastAsia" w:ascii="宋体" w:hAnsi="宋体" w:eastAsia="宋体" w:cs="宋体"/>
                      <w:color w:val="auto"/>
                      <w:szCs w:val="21"/>
                      <w:lang w:bidi="ar"/>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采菱港</w:t>
                  </w:r>
                </w:p>
              </w:tc>
              <w:tc>
                <w:tcPr>
                  <w:tcW w:w="8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18800</w:t>
                  </w:r>
                </w:p>
              </w:tc>
              <w:tc>
                <w:tcPr>
                  <w:tcW w:w="96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宋体" w:hAnsi="宋体" w:eastAsia="宋体" w:cs="宋体"/>
                      <w:color w:val="auto"/>
                      <w:szCs w:val="21"/>
                      <w:lang w:val="en-US" w:eastAsia="zh-CN" w:bidi="ar"/>
                    </w:rPr>
                  </w:pPr>
                  <w:r>
                    <w:rPr>
                      <w:rFonts w:hint="eastAsia" w:ascii="宋体" w:hAnsi="宋体" w:eastAsia="宋体" w:cs="宋体"/>
                      <w:color w:val="auto"/>
                      <w:szCs w:val="21"/>
                      <w:lang w:val="en-US" w:eastAsia="zh-CN" w:bidi="ar"/>
                    </w:rPr>
                    <w:t>中河</w:t>
                  </w:r>
                </w:p>
              </w:tc>
              <w:tc>
                <w:tcPr>
                  <w:tcW w:w="2688" w:type="dxa"/>
                  <w:vMerge w:val="continue"/>
                  <w:tcBorders>
                    <w:left w:val="nil"/>
                    <w:bottom w:val="single" w:color="auto" w:sz="4" w:space="0"/>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大气环境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新庄</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190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w:t>
                  </w:r>
                </w:p>
              </w:tc>
              <w:tc>
                <w:tcPr>
                  <w:tcW w:w="2688" w:type="dxa"/>
                  <w:vMerge w:val="restart"/>
                  <w:tcBorders>
                    <w:top w:val="nil"/>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《环境空气质量标准》(GB3095-2012)</w:t>
                  </w:r>
                </w:p>
                <w:p>
                  <w:pPr>
                    <w:pStyle w:val="23"/>
                    <w:widowControl/>
                    <w:spacing w:line="240" w:lineRule="auto"/>
                    <w:rPr>
                      <w:color w:val="auto"/>
                      <w:highlight w:val="yellow"/>
                    </w:rPr>
                  </w:pPr>
                  <w:r>
                    <w:rPr>
                      <w:color w:val="auto"/>
                    </w:rPr>
                    <w:t xml:space="preserve">表1 </w:t>
                  </w:r>
                  <w:r>
                    <w:rPr>
                      <w:rFonts w:hint="eastAsia" w:ascii="宋体" w:hAnsi="宋体" w:cs="宋体"/>
                      <w:color w:val="auto"/>
                    </w:rPr>
                    <w:t>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满墩村</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SW</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210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150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马鞍村</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SE</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360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300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前巷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W</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390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100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left w:val="single" w:color="auto" w:sz="4" w:space="0"/>
                    <w:right w:val="single" w:color="auto" w:sz="4" w:space="0"/>
                  </w:tcBorders>
                  <w:shd w:val="clear" w:color="auto" w:fill="auto"/>
                  <w:vAlign w:val="center"/>
                </w:tcPr>
                <w:p>
                  <w:pPr>
                    <w:pStyle w:val="23"/>
                    <w:widowControl/>
                    <w:spacing w:line="240" w:lineRule="auto"/>
                    <w:rPr>
                      <w:color w:val="auto"/>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邓家村</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N</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230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val="en-US" w:eastAsia="zh-CN" w:bidi="ar"/>
                    </w:rPr>
                    <w:t>100</w:t>
                  </w:r>
                </w:p>
              </w:tc>
              <w:tc>
                <w:tcPr>
                  <w:tcW w:w="2688" w:type="dxa"/>
                  <w:vMerge w:val="continue"/>
                  <w:tcBorders>
                    <w:left w:val="nil"/>
                    <w:right w:val="single" w:color="auto" w:sz="4" w:space="0"/>
                  </w:tcBorders>
                  <w:shd w:val="clear" w:color="auto" w:fill="auto"/>
                  <w:vAlign w:val="center"/>
                </w:tcPr>
                <w:p>
                  <w:pPr>
                    <w:pStyle w:val="23"/>
                    <w:widowControl/>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声环境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新庄</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E</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190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szCs w:val="21"/>
                      <w:lang w:val="en-US" w:eastAsia="zh-CN"/>
                    </w:rPr>
                    <w:t>150</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highlight w:val="yellow"/>
                    </w:rPr>
                  </w:pPr>
                  <w:r>
                    <w:rPr>
                      <w:color w:val="auto"/>
                    </w:rPr>
                    <w:t>《声环境噪声标准》（GB3096-2008</w:t>
                  </w:r>
                  <w:r>
                    <w:rPr>
                      <w:rFonts w:hint="eastAsia" w:ascii="宋体" w:hAnsi="宋体" w:cs="宋体"/>
                      <w:color w:val="auto"/>
                    </w:rPr>
                    <w:t>）</w:t>
                  </w:r>
                  <w:r>
                    <w:rPr>
                      <w:color w:val="auto"/>
                    </w:rPr>
                    <w:t>2</w:t>
                  </w:r>
                  <w:r>
                    <w:rPr>
                      <w:rFonts w:hint="eastAsia" w:ascii="宋体" w:hAnsi="宋体" w:cs="宋体"/>
                      <w:color w:val="auto"/>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pStyle w:val="23"/>
                    <w:widowControl/>
                    <w:spacing w:line="240" w:lineRule="auto"/>
                    <w:rPr>
                      <w:color w:val="auto"/>
                    </w:rPr>
                  </w:pPr>
                  <w:r>
                    <w:rPr>
                      <w:color w:val="auto"/>
                    </w:rPr>
                    <w:t>生态环境</w:t>
                  </w: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滆湖（武进区）重要湿地</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eastAsia="宋体"/>
                      <w:color w:val="auto"/>
                      <w:lang w:val="en-US" w:eastAsia="zh-CN"/>
                    </w:rPr>
                  </w:pPr>
                  <w:r>
                    <w:rPr>
                      <w:rFonts w:hint="eastAsia" w:ascii="Times New Roman" w:hAnsi="Times New Roman" w:eastAsia="宋体" w:cs="Times New Roman"/>
                      <w:color w:val="auto"/>
                      <w:szCs w:val="21"/>
                      <w:lang w:val="en-US" w:eastAsia="zh-CN"/>
                    </w:rPr>
                    <w:t>SE</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eastAsia="宋体"/>
                      <w:color w:val="auto"/>
                      <w:lang w:val="en-US" w:eastAsia="zh-CN"/>
                    </w:rPr>
                  </w:pPr>
                  <w:r>
                    <w:rPr>
                      <w:rFonts w:hint="eastAsia" w:ascii="Times New Roman" w:hAnsi="Times New Roman" w:eastAsia="宋体" w:cs="Times New Roman"/>
                      <w:color w:val="auto"/>
                      <w:szCs w:val="21"/>
                      <w:lang w:val="en-US" w:eastAsia="zh-CN"/>
                    </w:rPr>
                    <w:t>3750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rFonts w:hint="eastAsia"/>
                      <w:color w:val="auto"/>
                      <w:lang w:val="en-US" w:eastAsia="zh-CN"/>
                    </w:rPr>
                    <w:t>2.1</w:t>
                  </w:r>
                  <w:r>
                    <w:rPr>
                      <w:color w:val="auto"/>
                    </w:rPr>
                    <w:t>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szCs w:val="21"/>
                    </w:rPr>
                    <w:t>湿地生态系统保护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2"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color w:val="auto"/>
                      <w:sz w:val="20"/>
                      <w:szCs w:val="20"/>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滆湖饮用水水源保护区</w:t>
                  </w:r>
                </w:p>
              </w:tc>
              <w:tc>
                <w:tcPr>
                  <w:tcW w:w="8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color w:val="auto"/>
                    </w:rPr>
                  </w:pPr>
                  <w:r>
                    <w:rPr>
                      <w:rFonts w:hint="eastAsia" w:ascii="Times New Roman" w:hAnsi="Times New Roman" w:eastAsia="宋体" w:cs="Times New Roman"/>
                      <w:color w:val="auto"/>
                      <w:szCs w:val="21"/>
                      <w:lang w:val="en-US" w:eastAsia="zh-CN"/>
                    </w:rPr>
                    <w:t>SE</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default" w:eastAsia="宋体"/>
                      <w:color w:val="auto"/>
                      <w:lang w:val="en-US" w:eastAsia="zh-CN"/>
                    </w:rPr>
                  </w:pPr>
                  <w:r>
                    <w:rPr>
                      <w:rFonts w:hint="eastAsia" w:ascii="Times New Roman" w:hAnsi="Times New Roman" w:eastAsia="宋体" w:cs="Times New Roman"/>
                      <w:color w:val="auto"/>
                      <w:szCs w:val="21"/>
                      <w:lang w:val="en-US" w:eastAsia="zh-CN"/>
                    </w:rPr>
                    <w:t>7350</w:t>
                  </w:r>
                </w:p>
              </w:tc>
              <w:tc>
                <w:tcPr>
                  <w:tcW w:w="96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color w:val="auto"/>
                    </w:rPr>
                  </w:pPr>
                  <w:r>
                    <w:rPr>
                      <w:rFonts w:hint="eastAsia"/>
                      <w:color w:val="auto"/>
                      <w:lang w:val="en-US" w:eastAsia="zh-CN"/>
                    </w:rPr>
                    <w:t>24.</w:t>
                  </w:r>
                  <w:r>
                    <w:rPr>
                      <w:color w:val="auto"/>
                    </w:rPr>
                    <w:t>4km</w:t>
                  </w:r>
                  <w:r>
                    <w:rPr>
                      <w:color w:val="auto"/>
                      <w:vertAlign w:val="superscript"/>
                    </w:rPr>
                    <w:t>2</w:t>
                  </w:r>
                </w:p>
              </w:tc>
              <w:tc>
                <w:tcPr>
                  <w:tcW w:w="26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eastAsia="宋体"/>
                      <w:color w:val="auto"/>
                      <w:lang w:val="en-US" w:eastAsia="zh-CN"/>
                    </w:rPr>
                  </w:pPr>
                  <w:r>
                    <w:rPr>
                      <w:rFonts w:hint="eastAsia"/>
                      <w:color w:val="auto"/>
                      <w:lang w:val="en-US" w:eastAsia="zh-CN"/>
                    </w:rPr>
                    <w:t>水源水质保护</w:t>
                  </w:r>
                </w:p>
              </w:tc>
            </w:tr>
          </w:tbl>
          <w:p>
            <w:pPr>
              <w:spacing w:line="360" w:lineRule="auto"/>
              <w:rPr>
                <w:rFonts w:ascii="Times New Roman" w:hAnsi="Times New Roman" w:eastAsia="宋体" w:cs="Times New Roman"/>
                <w:color w:val="auto"/>
                <w:sz w:val="24"/>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评价适用标准</w:t>
      </w:r>
    </w:p>
    <w:tbl>
      <w:tblPr>
        <w:tblStyle w:val="16"/>
        <w:tblW w:w="84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8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457"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环环境质量标准</w:t>
            </w:r>
          </w:p>
        </w:tc>
        <w:tc>
          <w:tcPr>
            <w:tcW w:w="8006" w:type="dxa"/>
            <w:tcBorders>
              <w:top w:val="single" w:color="auto" w:sz="12"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、地表水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本项目尾水受纳水体</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，根据《常州市地表水（环境）功能区划》，水环境质量标准执行《地表水环境质量标准》（GB3838-2002</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Ⅳ</w:t>
            </w:r>
            <w:r>
              <w:rPr>
                <w:rFonts w:hint="eastAsia" w:ascii="宋体" w:hAnsi="宋体" w:eastAsia="宋体" w:cs="宋体"/>
                <w:color w:val="auto"/>
                <w:sz w:val="24"/>
                <w:lang w:bidi="ar"/>
              </w:rPr>
              <w:t>类标准，标准值见表</w:t>
            </w:r>
            <w:r>
              <w:rPr>
                <w:rFonts w:ascii="Times New Roman" w:hAnsi="Times New Roman" w:eastAsia="宋体" w:cs="Times New Roman"/>
                <w:color w:val="auto"/>
                <w:sz w:val="24"/>
                <w:lang w:bidi="ar"/>
              </w:rPr>
              <w:t>4-1</w:t>
            </w:r>
            <w:r>
              <w:rPr>
                <w:rFonts w:hint="eastAsia" w:ascii="宋体" w:hAnsi="宋体" w:eastAsia="宋体" w:cs="宋体"/>
                <w:color w:val="auto"/>
                <w:sz w:val="24"/>
                <w:lang w:bidi="ar"/>
              </w:rPr>
              <w:t>。</w:t>
            </w:r>
          </w:p>
          <w:p>
            <w:pPr>
              <w:pStyle w:val="26"/>
              <w:widowControl/>
              <w:rPr>
                <w:color w:val="auto"/>
              </w:rPr>
            </w:pPr>
            <w:r>
              <w:rPr>
                <w:color w:val="auto"/>
              </w:rPr>
              <w:t>表4-1</w:t>
            </w:r>
            <w:r>
              <w:rPr>
                <w:rFonts w:hint="eastAsia" w:ascii="宋体" w:hAnsi="宋体" w:cs="宋体"/>
                <w:color w:val="auto"/>
              </w:rPr>
              <w:t>《地表水环境质量标准》（</w:t>
            </w:r>
            <w:r>
              <w:rPr>
                <w:color w:val="auto"/>
              </w:rPr>
              <w:t>GB3838-2002</w:t>
            </w:r>
            <w:r>
              <w:rPr>
                <w:rFonts w:hint="eastAsia" w:ascii="宋体" w:hAnsi="宋体" w:cs="宋体"/>
                <w:color w:val="auto"/>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1024"/>
              <w:gridCol w:w="1329"/>
              <w:gridCol w:w="156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项目</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pH</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COD</w:t>
                  </w:r>
                </w:p>
              </w:tc>
              <w:tc>
                <w:tcPr>
                  <w:tcW w:w="156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NH</w:t>
                  </w:r>
                  <w:r>
                    <w:rPr>
                      <w:rFonts w:ascii="Times New Roman" w:hAnsi="Times New Roman" w:eastAsia="宋体" w:cs="Times New Roman"/>
                      <w:color w:val="auto"/>
                      <w:szCs w:val="21"/>
                      <w:vertAlign w:val="subscript"/>
                      <w:lang w:bidi="ar"/>
                    </w:rPr>
                    <w:t>3</w:t>
                  </w:r>
                  <w:r>
                    <w:rPr>
                      <w:rFonts w:ascii="Times New Roman" w:hAnsi="Times New Roman" w:eastAsia="宋体" w:cs="Times New Roman"/>
                      <w:color w:val="auto"/>
                      <w:szCs w:val="21"/>
                      <w:lang w:bidi="ar"/>
                    </w:rPr>
                    <w:t>-N</w:t>
                  </w:r>
                </w:p>
              </w:tc>
              <w:tc>
                <w:tcPr>
                  <w:tcW w:w="101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color w:val="auto"/>
                      <w:szCs w:val="21"/>
                    </w:rPr>
                  </w:pPr>
                  <w:r>
                    <w:rPr>
                      <w:rFonts w:ascii="Times New Roman" w:hAnsi="Times New Roman" w:eastAsia="宋体" w:cs="Times New Roman"/>
                      <w:color w:val="auto"/>
                      <w:szCs w:val="21"/>
                      <w:lang w:bidi="ar"/>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Ⅳ</w:t>
                  </w:r>
                  <w:r>
                    <w:rPr>
                      <w:rFonts w:hint="eastAsia" w:ascii="宋体" w:hAnsi="宋体" w:eastAsia="宋体" w:cs="宋体"/>
                      <w:color w:val="auto"/>
                      <w:szCs w:val="21"/>
                      <w:lang w:bidi="ar"/>
                    </w:rPr>
                    <w:t>类标准限值</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w:t>
                  </w:r>
                  <w:r>
                    <w:rPr>
                      <w:rFonts w:hint="eastAsia" w:ascii="宋体" w:hAnsi="宋体" w:eastAsia="宋体" w:cs="宋体"/>
                      <w:color w:val="auto"/>
                      <w:szCs w:val="21"/>
                      <w:lang w:bidi="ar"/>
                    </w:rPr>
                    <w:t>～</w:t>
                  </w:r>
                  <w:r>
                    <w:rPr>
                      <w:rFonts w:ascii="Times New Roman" w:hAnsi="Times New Roman" w:eastAsia="宋体" w:cs="Times New Roman"/>
                      <w:color w:val="auto"/>
                      <w:szCs w:val="21"/>
                      <w:lang w:bidi="ar"/>
                    </w:rPr>
                    <w:t>9</w:t>
                  </w:r>
                </w:p>
              </w:tc>
              <w:tc>
                <w:tcPr>
                  <w:tcW w:w="132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30</w:t>
                  </w:r>
                </w:p>
              </w:tc>
              <w:tc>
                <w:tcPr>
                  <w:tcW w:w="156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olor w:val="auto"/>
                      <w:sz w:val="21"/>
                      <w:szCs w:val="21"/>
                    </w:rPr>
                  </w:pPr>
                  <w:r>
                    <w:rPr>
                      <w:rFonts w:hint="default" w:ascii="Times New Roman" w:hAnsi="Times New Roman"/>
                      <w:color w:val="auto"/>
                      <w:sz w:val="21"/>
                      <w:szCs w:val="21"/>
                    </w:rPr>
                    <w:t>1.5</w:t>
                  </w:r>
                </w:p>
              </w:tc>
              <w:tc>
                <w:tcPr>
                  <w:tcW w:w="1011"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N/>
                    <w:ind w:firstLine="0" w:firstLineChars="0"/>
                    <w:rPr>
                      <w:rFonts w:hint="default" w:ascii="Times New Roman" w:hAnsi="Times New Roman"/>
                      <w:color w:val="auto"/>
                      <w:sz w:val="21"/>
                      <w:szCs w:val="21"/>
                    </w:rPr>
                  </w:pPr>
                  <w:r>
                    <w:rPr>
                      <w:rFonts w:hint="default" w:ascii="Times New Roman" w:hAnsi="Times New Roman"/>
                      <w:color w:val="auto"/>
                      <w:sz w:val="21"/>
                      <w:szCs w:val="21"/>
                    </w:rPr>
                    <w:t>0.3</w:t>
                  </w: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、环境空气</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根据《常州市环境空气质量功能区划分》（</w:t>
            </w:r>
            <w:r>
              <w:rPr>
                <w:rFonts w:ascii="Times New Roman" w:hAnsi="Times New Roman" w:eastAsia="宋体" w:cs="Times New Roman"/>
                <w:color w:val="auto"/>
                <w:sz w:val="24"/>
                <w:lang w:bidi="ar"/>
              </w:rPr>
              <w:t>2017</w:t>
            </w:r>
            <w:r>
              <w:rPr>
                <w:rFonts w:hint="eastAsia" w:ascii="宋体" w:hAnsi="宋体" w:eastAsia="宋体" w:cs="宋体"/>
                <w:color w:val="auto"/>
                <w:sz w:val="24"/>
                <w:lang w:bidi="ar"/>
              </w:rPr>
              <w:t>），项目所在地为二类区，执行《环境空气质量标准》（</w:t>
            </w:r>
            <w:r>
              <w:rPr>
                <w:rFonts w:ascii="Times New Roman" w:hAnsi="Times New Roman" w:eastAsia="宋体" w:cs="Times New Roman"/>
                <w:color w:val="auto"/>
                <w:sz w:val="24"/>
                <w:lang w:bidi="ar"/>
              </w:rPr>
              <w:t>GB3095-2012</w:t>
            </w:r>
            <w:r>
              <w:rPr>
                <w:rFonts w:hint="eastAsia" w:ascii="宋体" w:hAnsi="宋体" w:eastAsia="宋体" w:cs="宋体"/>
                <w:color w:val="auto"/>
                <w:sz w:val="24"/>
                <w:lang w:bidi="ar"/>
              </w:rPr>
              <w:t>）中二级标准</w:t>
            </w:r>
            <w:r>
              <w:rPr>
                <w:rFonts w:hint="eastAsia" w:ascii="宋体" w:hAnsi="宋体" w:eastAsia="宋体" w:cs="宋体"/>
                <w:color w:val="auto"/>
                <w:sz w:val="24"/>
                <w:lang w:eastAsia="zh-CN" w:bidi="ar"/>
              </w:rPr>
              <w:t>。</w:t>
            </w:r>
            <w:r>
              <w:rPr>
                <w:rFonts w:ascii="Times New Roman" w:hAnsi="Times New Roman" w:eastAsia="宋体" w:cs="Times New Roman"/>
                <w:color w:val="auto"/>
                <w:sz w:val="24"/>
                <w:lang w:bidi="ar"/>
              </w:rPr>
              <w:t>标准值见表4-2</w:t>
            </w:r>
            <w:r>
              <w:rPr>
                <w:rFonts w:hint="eastAsia" w:ascii="宋体" w:hAnsi="宋体" w:eastAsia="宋体" w:cs="宋体"/>
                <w:color w:val="auto"/>
                <w:sz w:val="24"/>
                <w:lang w:bidi="ar"/>
              </w:rPr>
              <w:t>。</w:t>
            </w:r>
          </w:p>
          <w:p>
            <w:pPr>
              <w:pStyle w:val="26"/>
              <w:widowControl/>
              <w:rPr>
                <w:color w:val="auto"/>
              </w:rPr>
            </w:pPr>
            <w:r>
              <w:rPr>
                <w:color w:val="auto"/>
              </w:rPr>
              <w:t>表4-2</w:t>
            </w:r>
            <w:r>
              <w:rPr>
                <w:rFonts w:hint="eastAsia" w:ascii="宋体" w:hAnsi="宋体" w:cs="宋体"/>
                <w:color w:val="auto"/>
              </w:rPr>
              <w:t>环境空气质量评价标准</w:t>
            </w:r>
          </w:p>
          <w:tbl>
            <w:tblPr>
              <w:tblStyle w:val="15"/>
              <w:tblW w:w="7618" w:type="dxa"/>
              <w:jc w:val="center"/>
              <w:tblInd w:w="3"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576"/>
              <w:gridCol w:w="1595"/>
              <w:gridCol w:w="1407"/>
              <w:gridCol w:w="819"/>
              <w:gridCol w:w="222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PrEx>
              <w:trPr>
                <w:cantSplit/>
                <w:jc w:val="center"/>
              </w:trPr>
              <w:tc>
                <w:tcPr>
                  <w:tcW w:w="1576" w:type="dxa"/>
                  <w:tcBorders>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污染物名称</w:t>
                  </w:r>
                </w:p>
              </w:tc>
              <w:tc>
                <w:tcPr>
                  <w:tcW w:w="1595" w:type="dxa"/>
                  <w:tcBorders>
                    <w:left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取值时间</w:t>
                  </w:r>
                </w:p>
              </w:tc>
              <w:tc>
                <w:tcPr>
                  <w:tcW w:w="1407" w:type="dxa"/>
                  <w:tcBorders>
                    <w:left w:val="single" w:color="auto" w:sz="2" w:space="0"/>
                    <w:bottom w:val="single" w:color="auto" w:sz="4" w:space="0"/>
                    <w:right w:val="single" w:color="auto" w:sz="2" w:space="0"/>
                  </w:tcBorders>
                  <w:shd w:val="clear" w:color="auto" w:fill="auto"/>
                  <w:vAlign w:val="center"/>
                </w:tcPr>
                <w:p>
                  <w:pPr>
                    <w:pStyle w:val="21"/>
                    <w:autoSpaceDE w:val="0"/>
                    <w:ind w:firstLine="0" w:firstLineChars="0"/>
                    <w:rPr>
                      <w:rFonts w:ascii="宋体" w:hAnsi="宋体" w:eastAsia="宋体"/>
                      <w:b/>
                      <w:color w:val="auto"/>
                      <w:kern w:val="0"/>
                      <w:sz w:val="21"/>
                      <w:szCs w:val="21"/>
                    </w:rPr>
                  </w:pPr>
                  <w:r>
                    <w:rPr>
                      <w:rFonts w:hint="eastAsia" w:ascii="宋体" w:hAnsi="宋体" w:eastAsia="宋体"/>
                      <w:b/>
                      <w:color w:val="auto"/>
                      <w:kern w:val="0"/>
                      <w:sz w:val="21"/>
                      <w:szCs w:val="21"/>
                    </w:rPr>
                    <w:t>浓度限值</w:t>
                  </w:r>
                </w:p>
              </w:tc>
              <w:tc>
                <w:tcPr>
                  <w:tcW w:w="819" w:type="dxa"/>
                  <w:tcBorders>
                    <w:left w:val="single" w:color="auto" w:sz="2" w:space="0"/>
                    <w:bottom w:val="single" w:color="auto" w:sz="4" w:space="0"/>
                    <w:right w:val="single" w:color="auto" w:sz="4" w:space="0"/>
                  </w:tcBorders>
                  <w:shd w:val="clear" w:color="auto" w:fill="auto"/>
                  <w:vAlign w:val="center"/>
                </w:tcPr>
                <w:p>
                  <w:pPr>
                    <w:pStyle w:val="28"/>
                    <w:autoSpaceDE w:val="0"/>
                    <w:ind w:firstLine="0" w:firstLineChars="0"/>
                    <w:rPr>
                      <w:rFonts w:ascii="宋体" w:hAnsi="宋体"/>
                      <w:b/>
                      <w:color w:val="auto"/>
                      <w:kern w:val="0"/>
                      <w:sz w:val="21"/>
                      <w:szCs w:val="21"/>
                    </w:rPr>
                  </w:pPr>
                  <w:r>
                    <w:rPr>
                      <w:rFonts w:hint="eastAsia" w:ascii="宋体" w:hAnsi="宋体"/>
                      <w:b/>
                      <w:color w:val="auto"/>
                      <w:kern w:val="0"/>
                      <w:sz w:val="21"/>
                      <w:szCs w:val="21"/>
                    </w:rPr>
                    <w:t>单位</w:t>
                  </w:r>
                </w:p>
              </w:tc>
              <w:tc>
                <w:tcPr>
                  <w:tcW w:w="2221" w:type="dxa"/>
                  <w:tcBorders>
                    <w:left w:val="nil"/>
                    <w:bottom w:val="single" w:color="auto" w:sz="4" w:space="0"/>
                  </w:tcBorders>
                  <w:shd w:val="clear" w:color="auto" w:fill="auto"/>
                  <w:vAlign w:val="center"/>
                </w:tcPr>
                <w:p>
                  <w:pPr>
                    <w:pStyle w:val="28"/>
                    <w:autoSpaceDE w:val="0"/>
                    <w:ind w:firstLine="0" w:firstLineChars="0"/>
                    <w:rPr>
                      <w:rFonts w:ascii="宋体" w:hAnsi="宋体"/>
                      <w:b/>
                      <w:color w:val="auto"/>
                      <w:kern w:val="0"/>
                      <w:sz w:val="21"/>
                      <w:szCs w:val="21"/>
                    </w:rPr>
                  </w:pPr>
                  <w:r>
                    <w:rPr>
                      <w:rFonts w:hint="eastAsia" w:ascii="宋体" w:hAnsi="宋体"/>
                      <w:b/>
                      <w:color w:val="auto"/>
                      <w:kern w:val="0"/>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SO</w:t>
                  </w:r>
                  <w:r>
                    <w:rPr>
                      <w:rFonts w:hint="eastAsia" w:ascii="宋体" w:hAnsi="宋体" w:eastAsia="宋体"/>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60</w:t>
                  </w:r>
                </w:p>
              </w:tc>
              <w:tc>
                <w:tcPr>
                  <w:tcW w:w="819" w:type="dxa"/>
                  <w:vMerge w:val="restart"/>
                  <w:tcBorders>
                    <w:top w:val="single" w:color="auto" w:sz="2" w:space="0"/>
                    <w:left w:val="single" w:color="auto" w:sz="2" w:space="0"/>
                    <w:bottom w:val="single" w:color="auto" w:sz="2" w:space="0"/>
                    <w:right w:val="single" w:color="auto" w:sz="4"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μg/m</w:t>
                  </w:r>
                  <w:r>
                    <w:rPr>
                      <w:rFonts w:hint="eastAsia" w:ascii="宋体" w:hAnsi="宋体"/>
                      <w:color w:val="auto"/>
                      <w:kern w:val="0"/>
                      <w:sz w:val="21"/>
                      <w:szCs w:val="21"/>
                      <w:vertAlign w:val="superscript"/>
                    </w:rPr>
                    <w:t>3</w:t>
                  </w:r>
                </w:p>
              </w:tc>
              <w:tc>
                <w:tcPr>
                  <w:tcW w:w="2221" w:type="dxa"/>
                  <w:vMerge w:val="restart"/>
                  <w:tcBorders>
                    <w:top w:val="single" w:color="auto" w:sz="2" w:space="0"/>
                    <w:left w:val="nil"/>
                    <w:bottom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《环境空气质量标准》（GB3095-2012）中二级标准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500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NO</w:t>
                  </w:r>
                  <w:r>
                    <w:rPr>
                      <w:rFonts w:hint="eastAsia" w:ascii="宋体" w:hAnsi="宋体"/>
                      <w:color w:val="auto"/>
                      <w:kern w:val="0"/>
                      <w:sz w:val="21"/>
                      <w:szCs w:val="21"/>
                      <w:vertAlign w:val="subscript"/>
                    </w:rPr>
                    <w:t>2</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40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80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PM</w:t>
                  </w:r>
                  <w:r>
                    <w:rPr>
                      <w:rFonts w:hint="eastAsia" w:ascii="宋体" w:hAnsi="宋体" w:eastAsia="宋体"/>
                      <w:color w:val="auto"/>
                      <w:kern w:val="0"/>
                      <w:sz w:val="21"/>
                      <w:szCs w:val="21"/>
                      <w:vertAlign w:val="subscript"/>
                    </w:rPr>
                    <w:t>10</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70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150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restart"/>
                  <w:tcBorders>
                    <w:top w:val="single" w:color="auto" w:sz="2" w:space="0"/>
                    <w:bottom w:val="single" w:color="auto" w:sz="2" w:space="0"/>
                    <w:right w:val="single" w:color="auto" w:sz="2" w:space="0"/>
                  </w:tcBorders>
                  <w:shd w:val="clear" w:color="auto" w:fill="auto"/>
                  <w:vAlign w:val="center"/>
                </w:tcPr>
                <w:p>
                  <w:pPr>
                    <w:pStyle w:val="21"/>
                    <w:autoSpaceDE w:val="0"/>
                    <w:ind w:firstLine="0" w:firstLineChars="0"/>
                    <w:rPr>
                      <w:rFonts w:ascii="宋体" w:hAnsi="宋体" w:eastAsia="宋体"/>
                      <w:color w:val="auto"/>
                      <w:kern w:val="0"/>
                      <w:sz w:val="21"/>
                      <w:szCs w:val="21"/>
                    </w:rPr>
                  </w:pPr>
                  <w:r>
                    <w:rPr>
                      <w:rFonts w:hint="eastAsia" w:ascii="宋体" w:hAnsi="宋体" w:eastAsia="宋体"/>
                      <w:color w:val="auto"/>
                      <w:kern w:val="0"/>
                      <w:sz w:val="21"/>
                      <w:szCs w:val="21"/>
                    </w:rPr>
                    <w:t>PM</w:t>
                  </w:r>
                  <w:r>
                    <w:rPr>
                      <w:rFonts w:hint="eastAsia" w:ascii="宋体" w:hAnsi="宋体" w:eastAsia="宋体"/>
                      <w:color w:val="auto"/>
                      <w:kern w:val="0"/>
                      <w:sz w:val="21"/>
                      <w:szCs w:val="21"/>
                      <w:vertAlign w:val="subscript"/>
                    </w:rPr>
                    <w:t>2.5</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年平均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35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vMerge w:val="continue"/>
                  <w:tcBorders>
                    <w:top w:val="single" w:color="auto" w:sz="2" w:space="0"/>
                    <w:bottom w:val="single" w:color="auto" w:sz="2" w:space="0"/>
                    <w:right w:val="single" w:color="auto" w:sz="2" w:space="0"/>
                  </w:tcBorders>
                  <w:shd w:val="clear" w:color="auto" w:fill="auto"/>
                  <w:vAlign w:val="center"/>
                </w:tcPr>
                <w:p>
                  <w:pPr>
                    <w:rPr>
                      <w:rFonts w:ascii="Times New Roman" w:hAnsi="Times New Roman" w:cs="Times New Roman"/>
                      <w:color w:val="auto"/>
                      <w:sz w:val="20"/>
                      <w:szCs w:val="20"/>
                    </w:rPr>
                  </w:pP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75</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CO</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24小时平均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4000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jc w:val="center"/>
              </w:trPr>
              <w:tc>
                <w:tcPr>
                  <w:tcW w:w="1576" w:type="dxa"/>
                  <w:tcBorders>
                    <w:top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O</w:t>
                  </w:r>
                  <w:r>
                    <w:rPr>
                      <w:rFonts w:hint="eastAsia" w:ascii="宋体" w:hAnsi="宋体" w:eastAsia="宋体" w:cs="宋体"/>
                      <w:color w:val="auto"/>
                      <w:kern w:val="0"/>
                      <w:szCs w:val="21"/>
                      <w:vertAlign w:val="subscript"/>
                      <w:lang w:bidi="ar"/>
                    </w:rPr>
                    <w:t>3</w:t>
                  </w:r>
                </w:p>
              </w:tc>
              <w:tc>
                <w:tcPr>
                  <w:tcW w:w="159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28"/>
                    <w:autoSpaceDE w:val="0"/>
                    <w:ind w:firstLine="0" w:firstLineChars="0"/>
                    <w:rPr>
                      <w:rFonts w:ascii="宋体" w:hAnsi="宋体"/>
                      <w:color w:val="auto"/>
                      <w:kern w:val="0"/>
                      <w:sz w:val="21"/>
                      <w:szCs w:val="21"/>
                    </w:rPr>
                  </w:pPr>
                  <w:r>
                    <w:rPr>
                      <w:rFonts w:hint="eastAsia" w:ascii="宋体" w:hAnsi="宋体"/>
                      <w:color w:val="auto"/>
                      <w:kern w:val="0"/>
                      <w:sz w:val="21"/>
                      <w:szCs w:val="21"/>
                    </w:rPr>
                    <w:t>8小时平均</w:t>
                  </w:r>
                </w:p>
              </w:tc>
              <w:tc>
                <w:tcPr>
                  <w:tcW w:w="14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utoSpaceDE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lang w:bidi="ar"/>
                    </w:rPr>
                    <w:t>160</w:t>
                  </w:r>
                </w:p>
              </w:tc>
              <w:tc>
                <w:tcPr>
                  <w:tcW w:w="819" w:type="dxa"/>
                  <w:vMerge w:val="continue"/>
                  <w:tcBorders>
                    <w:top w:val="single" w:color="auto" w:sz="2" w:space="0"/>
                    <w:left w:val="single" w:color="auto" w:sz="2" w:space="0"/>
                    <w:bottom w:val="single" w:color="auto" w:sz="2" w:space="0"/>
                    <w:right w:val="single" w:color="auto" w:sz="4" w:space="0"/>
                  </w:tcBorders>
                  <w:shd w:val="clear" w:color="auto" w:fill="auto"/>
                  <w:vAlign w:val="center"/>
                </w:tcPr>
                <w:p>
                  <w:pPr>
                    <w:rPr>
                      <w:rFonts w:ascii="Times New Roman" w:hAnsi="Times New Roman" w:cs="Times New Roman"/>
                      <w:color w:val="auto"/>
                      <w:sz w:val="20"/>
                      <w:szCs w:val="20"/>
                    </w:rPr>
                  </w:pPr>
                </w:p>
              </w:tc>
              <w:tc>
                <w:tcPr>
                  <w:tcW w:w="2221" w:type="dxa"/>
                  <w:vMerge w:val="continue"/>
                  <w:tcBorders>
                    <w:top w:val="single" w:color="auto" w:sz="2" w:space="0"/>
                    <w:left w:val="nil"/>
                    <w:bottom w:val="single" w:color="auto" w:sz="2" w:space="0"/>
                  </w:tcBorders>
                  <w:shd w:val="clear" w:color="auto" w:fill="auto"/>
                  <w:vAlign w:val="center"/>
                </w:tcPr>
                <w:p>
                  <w:pPr>
                    <w:rPr>
                      <w:rFonts w:ascii="Times New Roman" w:hAnsi="Times New Roman" w:cs="Times New Roman"/>
                      <w:color w:val="auto"/>
                      <w:sz w:val="20"/>
                      <w:szCs w:val="20"/>
                    </w:rPr>
                  </w:pPr>
                </w:p>
              </w:tc>
            </w:tr>
          </w:tbl>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3</w:t>
            </w:r>
            <w:r>
              <w:rPr>
                <w:rFonts w:hint="eastAsia" w:ascii="宋体" w:hAnsi="宋体" w:eastAsia="宋体" w:cs="宋体"/>
                <w:b/>
                <w:color w:val="auto"/>
                <w:sz w:val="24"/>
                <w:lang w:bidi="ar"/>
              </w:rPr>
              <w:t>、环境噪声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根据《声环境质量标准》（GB3096-2008</w:t>
            </w:r>
            <w:r>
              <w:rPr>
                <w:rFonts w:hint="eastAsia" w:ascii="宋体" w:hAnsi="宋体" w:eastAsia="宋体" w:cs="宋体"/>
                <w:color w:val="auto"/>
                <w:sz w:val="24"/>
                <w:lang w:bidi="ar"/>
              </w:rPr>
              <w:t>）声功能区分类，</w:t>
            </w:r>
            <w:r>
              <w:rPr>
                <w:rFonts w:ascii="Times New Roman" w:hAnsi="Times New Roman" w:eastAsia="宋体" w:cs="Times New Roman"/>
                <w:color w:val="auto"/>
                <w:sz w:val="24"/>
                <w:lang w:bidi="ar"/>
              </w:rPr>
              <w:t>本项目区域声环境四周厂界执行《声环境质量标准》（GB3096-2008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本项目标准值见表4-3</w:t>
            </w:r>
            <w:r>
              <w:rPr>
                <w:rFonts w:hint="eastAsia" w:ascii="宋体" w:hAnsi="宋体" w:eastAsia="宋体" w:cs="宋体"/>
                <w:color w:val="auto"/>
                <w:sz w:val="24"/>
                <w:lang w:bidi="ar"/>
              </w:rPr>
              <w:t>。</w:t>
            </w:r>
          </w:p>
          <w:p>
            <w:pPr>
              <w:pStyle w:val="26"/>
              <w:widowControl/>
              <w:rPr>
                <w:color w:val="auto"/>
              </w:rPr>
            </w:pPr>
            <w:r>
              <w:rPr>
                <w:color w:val="auto"/>
              </w:rPr>
              <w:t>表4-3</w:t>
            </w:r>
            <w:r>
              <w:rPr>
                <w:rFonts w:hint="eastAsia" w:ascii="宋体" w:hAnsi="宋体" w:cs="宋体"/>
                <w:color w:val="auto"/>
              </w:rPr>
              <w:t>《声环境质量标准》（</w:t>
            </w:r>
            <w:r>
              <w:rPr>
                <w:color w:val="auto"/>
              </w:rPr>
              <w:t>GB3096-2008</w:t>
            </w:r>
            <w:r>
              <w:rPr>
                <w:rFonts w:hint="eastAsia" w:ascii="宋体" w:hAnsi="宋体" w:cs="宋体"/>
                <w:color w:val="auto"/>
              </w:rPr>
              <w:t>）单位：</w:t>
            </w:r>
            <w:r>
              <w:rPr>
                <w:color w:val="auto"/>
              </w:rPr>
              <w:t>dB</w:t>
            </w:r>
            <w:r>
              <w:rPr>
                <w:rFonts w:hint="eastAsia" w:ascii="宋体" w:hAnsi="宋体" w:cs="宋体"/>
                <w:color w:val="auto"/>
              </w:rPr>
              <w:t>（</w:t>
            </w:r>
            <w:r>
              <w:rPr>
                <w:color w:val="auto"/>
              </w:rPr>
              <w:t>A</w:t>
            </w:r>
            <w:r>
              <w:rPr>
                <w:rFonts w:hint="eastAsia" w:ascii="宋体" w:hAnsi="宋体" w:cs="宋体"/>
                <w:color w:val="auto"/>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080"/>
              <w:gridCol w:w="1080"/>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声环境功能区划类别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昼间</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夜间</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2</w:t>
                  </w:r>
                  <w:r>
                    <w:rPr>
                      <w:rFonts w:hint="eastAsia" w:ascii="宋体" w:hAnsi="宋体" w:eastAsia="宋体" w:cs="宋体"/>
                      <w:color w:val="auto"/>
                      <w:szCs w:val="21"/>
                      <w:lang w:bidi="ar"/>
                    </w:rPr>
                    <w:t>类</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60</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50</w:t>
                  </w:r>
                </w:p>
              </w:tc>
              <w:tc>
                <w:tcPr>
                  <w:tcW w:w="290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东、南、西、北厂界</w:t>
                  </w:r>
                </w:p>
              </w:tc>
            </w:tr>
          </w:tbl>
          <w:p>
            <w:pPr>
              <w:spacing w:line="240" w:lineRule="atLeast"/>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57"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污污染物排放标准</w:t>
            </w:r>
          </w:p>
        </w:tc>
        <w:tc>
          <w:tcPr>
            <w:tcW w:w="8006" w:type="dxa"/>
            <w:tcBorders>
              <w:top w:val="single" w:color="auto" w:sz="6" w:space="0"/>
              <w:left w:val="single" w:color="auto" w:sz="6" w:space="0"/>
              <w:bottom w:val="single" w:color="auto" w:sz="6" w:space="0"/>
              <w:right w:val="single" w:color="auto" w:sz="12" w:space="0"/>
            </w:tcBorders>
            <w:shd w:val="clear" w:color="auto" w:fill="auto"/>
          </w:tcPr>
          <w:p>
            <w:pPr>
              <w:spacing w:line="360" w:lineRule="auto"/>
              <w:ind w:firstLine="482" w:firstLineChars="200"/>
              <w:rPr>
                <w:rFonts w:hint="eastAsia" w:ascii="Times New Roman" w:hAnsi="Times New Roman" w:eastAsia="宋体" w:cs="Times New Roman"/>
                <w:b/>
                <w:color w:val="auto"/>
                <w:sz w:val="24"/>
                <w:lang w:val="en-US" w:eastAsia="zh-CN"/>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w:t>
            </w:r>
            <w:r>
              <w:rPr>
                <w:rFonts w:hint="eastAsia" w:ascii="宋体" w:hAnsi="宋体" w:eastAsia="宋体" w:cs="宋体"/>
                <w:b/>
                <w:color w:val="auto"/>
                <w:sz w:val="24"/>
                <w:lang w:val="en-US" w:eastAsia="zh-CN" w:bidi="ar"/>
              </w:rPr>
              <w:t>废气</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①锅炉烟气排放标准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本项目是以生物质成型燃料为燃料的热载体锅炉，根据《锅炉大气污染物排放标准》（GB13271-2014），大气污染物排放标准参照燃煤锅炉排放控制要求执行，</w:t>
            </w:r>
            <w:r>
              <w:rPr>
                <w:rFonts w:hint="eastAsia" w:ascii="Times New Roman" w:hAnsi="Times New Roman" w:cs="Times New Roman"/>
                <w:sz w:val="24"/>
                <w:szCs w:val="24"/>
                <w:lang w:val="en-US" w:eastAsia="zh-CN"/>
              </w:rPr>
              <w:t>本项目使用本项目产品作为燃料，不含硫，因此，无</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hint="eastAsia" w:ascii="Times New Roman" w:hAnsi="Times New Roman" w:cs="Times New Roman"/>
                <w:sz w:val="24"/>
                <w:szCs w:val="24"/>
                <w:vertAlign w:val="baseline"/>
                <w:lang w:val="en-US" w:eastAsia="zh-CN"/>
              </w:rPr>
              <w:t>产生及排放，</w:t>
            </w:r>
            <w:r>
              <w:rPr>
                <w:rFonts w:ascii="Times New Roman" w:hAnsi="Times New Roman" w:cs="Times New Roman"/>
                <w:sz w:val="24"/>
                <w:szCs w:val="24"/>
              </w:rPr>
              <w:t>烟尘、NO</w:t>
            </w:r>
            <w:r>
              <w:rPr>
                <w:rFonts w:ascii="Times New Roman" w:hAnsi="Times New Roman" w:cs="Times New Roman"/>
                <w:sz w:val="24"/>
                <w:szCs w:val="24"/>
                <w:vertAlign w:val="subscript"/>
              </w:rPr>
              <w:t>X</w:t>
            </w:r>
            <w:r>
              <w:rPr>
                <w:rFonts w:ascii="Times New Roman" w:hAnsi="Times New Roman" w:cs="Times New Roman"/>
                <w:sz w:val="24"/>
                <w:szCs w:val="24"/>
              </w:rPr>
              <w:t>、烟气黑度排放执行《锅炉大气污染物排放标准》（GB13271-2014）表3中大气污染物特别排放限值，具体见表</w:t>
            </w:r>
            <w:r>
              <w:rPr>
                <w:rFonts w:hint="eastAsia" w:ascii="Times New Roman" w:hAnsi="Times New Roman" w:cs="Times New Roman"/>
                <w:sz w:val="24"/>
                <w:szCs w:val="24"/>
                <w:lang w:val="en-US" w:eastAsia="zh-CN"/>
              </w:rPr>
              <w:t>4</w:t>
            </w:r>
            <w:r>
              <w:rPr>
                <w:rFonts w:ascii="Times New Roman" w:hAnsi="Times New Roman" w:cs="Times New Roman"/>
                <w:sz w:val="24"/>
                <w:szCs w:val="24"/>
              </w:rPr>
              <w:t>-4。</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4-</w:t>
            </w:r>
            <w:r>
              <w:rPr>
                <w:rFonts w:ascii="Times New Roman" w:hAnsi="Times New Roman" w:cs="Times New Roman"/>
                <w:b/>
                <w:sz w:val="24"/>
                <w:szCs w:val="24"/>
              </w:rPr>
              <w:t>4 《锅炉大气污染物排放标准》（GB13271-2014）</w:t>
            </w:r>
          </w:p>
          <w:tbl>
            <w:tblPr>
              <w:tblStyle w:val="16"/>
              <w:tblW w:w="7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219"/>
              <w:gridCol w:w="1141"/>
              <w:gridCol w:w="1547"/>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Align w:val="center"/>
                </w:tcPr>
                <w:p>
                  <w:pPr>
                    <w:jc w:val="center"/>
                    <w:rPr>
                      <w:rFonts w:ascii="Times New Roman" w:hAnsi="Times New Roman" w:cs="Times New Roman"/>
                      <w:szCs w:val="21"/>
                    </w:rPr>
                  </w:pPr>
                  <w:r>
                    <w:rPr>
                      <w:rFonts w:ascii="Times New Roman" w:hAnsi="Times New Roman" w:cs="Times New Roman"/>
                      <w:szCs w:val="21"/>
                    </w:rPr>
                    <w:t>锅炉类型</w:t>
                  </w:r>
                </w:p>
              </w:tc>
              <w:tc>
                <w:tcPr>
                  <w:tcW w:w="1219" w:type="dxa"/>
                  <w:vAlign w:val="center"/>
                </w:tcPr>
                <w:p>
                  <w:pPr>
                    <w:jc w:val="center"/>
                    <w:rPr>
                      <w:rFonts w:ascii="Times New Roman" w:hAnsi="Times New Roman" w:cs="Times New Roman"/>
                      <w:szCs w:val="21"/>
                    </w:rPr>
                  </w:pPr>
                  <w:r>
                    <w:rPr>
                      <w:rFonts w:ascii="Times New Roman" w:hAnsi="Times New Roman" w:cs="Times New Roman"/>
                      <w:szCs w:val="21"/>
                    </w:rPr>
                    <w:t>颗粒物</w:t>
                  </w:r>
                </w:p>
                <w:p>
                  <w:pPr>
                    <w:jc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p>
              </w:tc>
              <w:tc>
                <w:tcPr>
                  <w:tcW w:w="1141" w:type="dxa"/>
                  <w:vAlign w:val="center"/>
                </w:tcPr>
                <w:p>
                  <w:pPr>
                    <w:jc w:val="center"/>
                    <w:rPr>
                      <w:rFonts w:ascii="Times New Roman" w:hAnsi="Times New Roman" w:cs="Times New Roman"/>
                      <w:szCs w:val="21"/>
                    </w:rPr>
                  </w:pPr>
                  <w:r>
                    <w:rPr>
                      <w:rFonts w:ascii="Times New Roman" w:hAnsi="Times New Roman" w:cs="Times New Roman"/>
                      <w:szCs w:val="21"/>
                    </w:rPr>
                    <w:t>氮氧化物</w:t>
                  </w:r>
                </w:p>
                <w:p>
                  <w:pPr>
                    <w:jc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p>
              </w:tc>
              <w:tc>
                <w:tcPr>
                  <w:tcW w:w="1547" w:type="dxa"/>
                  <w:vAlign w:val="center"/>
                </w:tcPr>
                <w:p>
                  <w:pPr>
                    <w:jc w:val="center"/>
                    <w:rPr>
                      <w:rFonts w:ascii="Times New Roman" w:hAnsi="Times New Roman" w:cs="Times New Roman"/>
                      <w:szCs w:val="21"/>
                    </w:rPr>
                  </w:pPr>
                  <w:r>
                    <w:rPr>
                      <w:rFonts w:ascii="Times New Roman" w:hAnsi="Times New Roman" w:cs="Times New Roman"/>
                      <w:szCs w:val="21"/>
                    </w:rPr>
                    <w:t>烟气黑度（林格曼黑度，级）</w:t>
                  </w:r>
                </w:p>
              </w:tc>
              <w:tc>
                <w:tcPr>
                  <w:tcW w:w="2824" w:type="dxa"/>
                  <w:vAlign w:val="center"/>
                </w:tcPr>
                <w:p>
                  <w:pPr>
                    <w:jc w:val="center"/>
                    <w:rPr>
                      <w:rFonts w:ascii="Times New Roman" w:hAnsi="Times New Roman" w:cs="Times New Roman"/>
                      <w:szCs w:val="21"/>
                    </w:rPr>
                  </w:pPr>
                  <w:r>
                    <w:rPr>
                      <w:rFonts w:ascii="Times New Roman" w:hAnsi="Times New Roman" w:cs="Times New Roman"/>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vAlign w:val="center"/>
                </w:tcPr>
                <w:p>
                  <w:pPr>
                    <w:jc w:val="center"/>
                    <w:rPr>
                      <w:rFonts w:ascii="Times New Roman" w:hAnsi="Times New Roman" w:cs="Times New Roman"/>
                      <w:szCs w:val="21"/>
                    </w:rPr>
                  </w:pPr>
                  <w:r>
                    <w:rPr>
                      <w:rFonts w:ascii="Times New Roman" w:hAnsi="Times New Roman" w:cs="Times New Roman"/>
                      <w:szCs w:val="21"/>
                    </w:rPr>
                    <w:t>生物质锅炉</w:t>
                  </w:r>
                </w:p>
              </w:tc>
              <w:tc>
                <w:tcPr>
                  <w:tcW w:w="1219"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141" w:type="dxa"/>
                  <w:vAlign w:val="center"/>
                </w:tcPr>
                <w:p>
                  <w:pPr>
                    <w:jc w:val="center"/>
                    <w:rPr>
                      <w:rFonts w:ascii="Times New Roman" w:hAnsi="Times New Roman" w:cs="Times New Roman"/>
                      <w:szCs w:val="21"/>
                    </w:rPr>
                  </w:pPr>
                  <w:r>
                    <w:rPr>
                      <w:rFonts w:ascii="Times New Roman" w:hAnsi="Times New Roman" w:cs="Times New Roman"/>
                      <w:szCs w:val="21"/>
                    </w:rPr>
                    <w:t>200</w:t>
                  </w:r>
                </w:p>
              </w:tc>
              <w:tc>
                <w:tcPr>
                  <w:tcW w:w="1547"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2824" w:type="dxa"/>
                  <w:vAlign w:val="center"/>
                </w:tcPr>
                <w:p>
                  <w:pPr>
                    <w:jc w:val="center"/>
                    <w:rPr>
                      <w:rFonts w:ascii="Times New Roman" w:hAnsi="Times New Roman" w:cs="Times New Roman"/>
                      <w:szCs w:val="21"/>
                    </w:rPr>
                  </w:pPr>
                  <w:r>
                    <w:rPr>
                      <w:rFonts w:ascii="Times New Roman" w:hAnsi="Times New Roman" w:cs="Times New Roman"/>
                      <w:szCs w:val="21"/>
                    </w:rPr>
                    <w:t>《锅炉大气污染物排放标准》（GB13271-2014）表3中大气污染物特别排放限值</w:t>
                  </w:r>
                </w:p>
              </w:tc>
            </w:tr>
          </w:tbl>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②烟囱高度设置要求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本项目新上一台</w:t>
            </w:r>
            <w:r>
              <w:rPr>
                <w:rFonts w:hint="eastAsia" w:ascii="Times New Roman" w:hAnsi="Times New Roman" w:cs="Times New Roman"/>
                <w:sz w:val="24"/>
                <w:szCs w:val="24"/>
                <w:lang w:val="en-US" w:eastAsia="zh-CN"/>
              </w:rPr>
              <w:t>热风炉</w:t>
            </w:r>
            <w:r>
              <w:rPr>
                <w:rFonts w:ascii="Times New Roman" w:hAnsi="Times New Roman" w:cs="Times New Roman"/>
                <w:sz w:val="24"/>
                <w:szCs w:val="24"/>
              </w:rPr>
              <w:t>，生物质燃料用量为0.</w:t>
            </w:r>
            <w:r>
              <w:rPr>
                <w:rFonts w:hint="eastAsia" w:ascii="Times New Roman" w:hAnsi="Times New Roman" w:cs="Times New Roman"/>
                <w:sz w:val="24"/>
                <w:szCs w:val="24"/>
                <w:lang w:val="en-US" w:eastAsia="zh-CN"/>
              </w:rPr>
              <w:t>083</w:t>
            </w:r>
            <w:r>
              <w:rPr>
                <w:rFonts w:ascii="Times New Roman" w:hAnsi="Times New Roman" w:cs="Times New Roman"/>
                <w:sz w:val="24"/>
                <w:szCs w:val="24"/>
              </w:rPr>
              <w:t>t/h，其废气经净化处理后，通过1根烟囱集中高空排放，烟囱高度参照《锅炉大气污染物排放标准》（GB13271-2014）表4中燃煤锅炉房烟囱最低允许规定执行。具体见下表</w:t>
            </w:r>
            <w:r>
              <w:rPr>
                <w:rFonts w:hint="eastAsia" w:ascii="Times New Roman" w:hAnsi="Times New Roman" w:cs="Times New Roman"/>
                <w:sz w:val="24"/>
                <w:szCs w:val="24"/>
                <w:lang w:val="en-US" w:eastAsia="zh-CN"/>
              </w:rPr>
              <w:t>4</w:t>
            </w:r>
            <w:r>
              <w:rPr>
                <w:rFonts w:ascii="Times New Roman" w:hAnsi="Times New Roman" w:cs="Times New Roman"/>
                <w:sz w:val="24"/>
                <w:szCs w:val="24"/>
              </w:rPr>
              <w:t>-5。</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4</w:t>
            </w:r>
            <w:r>
              <w:rPr>
                <w:rFonts w:ascii="Times New Roman" w:hAnsi="Times New Roman" w:cs="Times New Roman"/>
                <w:b/>
                <w:sz w:val="24"/>
                <w:szCs w:val="24"/>
              </w:rPr>
              <w:t>-5  燃煤锅炉房烟囱最低允许高度</w:t>
            </w:r>
          </w:p>
          <w:tbl>
            <w:tblPr>
              <w:tblStyle w:val="16"/>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601"/>
              <w:gridCol w:w="707"/>
              <w:gridCol w:w="1169"/>
              <w:gridCol w:w="1170"/>
              <w:gridCol w:w="1169"/>
              <w:gridCol w:w="117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49" w:type="dxa"/>
                  <w:vMerge w:val="restart"/>
                  <w:vAlign w:val="center"/>
                </w:tcPr>
                <w:p>
                  <w:pPr>
                    <w:jc w:val="center"/>
                    <w:rPr>
                      <w:rFonts w:ascii="Times New Roman" w:hAnsi="Times New Roman" w:cs="Times New Roman"/>
                      <w:szCs w:val="21"/>
                    </w:rPr>
                  </w:pPr>
                  <w:r>
                    <w:rPr>
                      <w:rFonts w:ascii="Times New Roman" w:hAnsi="Times New Roman" w:cs="Times New Roman"/>
                      <w:szCs w:val="21"/>
                    </w:rPr>
                    <w:t>锅炉装机总容量</w:t>
                  </w:r>
                </w:p>
              </w:tc>
              <w:tc>
                <w:tcPr>
                  <w:tcW w:w="601" w:type="dxa"/>
                  <w:vAlign w:val="center"/>
                </w:tcPr>
                <w:p>
                  <w:pPr>
                    <w:jc w:val="center"/>
                    <w:rPr>
                      <w:rFonts w:ascii="Times New Roman" w:hAnsi="Times New Roman" w:cs="Times New Roman"/>
                      <w:szCs w:val="21"/>
                    </w:rPr>
                  </w:pPr>
                  <w:r>
                    <w:rPr>
                      <w:rFonts w:ascii="Times New Roman" w:hAnsi="Times New Roman" w:cs="Times New Roman"/>
                      <w:szCs w:val="21"/>
                    </w:rPr>
                    <w:t>MW</w:t>
                  </w:r>
                </w:p>
              </w:tc>
              <w:tc>
                <w:tcPr>
                  <w:tcW w:w="707" w:type="dxa"/>
                  <w:shd w:val="clear" w:color="auto" w:fill="BEBEBE" w:themeFill="background1" w:themeFillShade="BF"/>
                  <w:vAlign w:val="center"/>
                </w:tcPr>
                <w:p>
                  <w:pPr>
                    <w:jc w:val="center"/>
                    <w:rPr>
                      <w:rFonts w:ascii="Times New Roman" w:hAnsi="Times New Roman" w:cs="Times New Roman"/>
                      <w:szCs w:val="18"/>
                    </w:rPr>
                  </w:pPr>
                  <w:r>
                    <w:rPr>
                      <w:rFonts w:ascii="Times New Roman" w:hAnsi="Times New Roman" w:cs="Times New Roman"/>
                      <w:szCs w:val="18"/>
                    </w:rPr>
                    <w:t>＜0.7</w:t>
                  </w:r>
                </w:p>
              </w:tc>
              <w:tc>
                <w:tcPr>
                  <w:tcW w:w="1169"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0.7～＜1.4</w:t>
                  </w:r>
                </w:p>
              </w:tc>
              <w:tc>
                <w:tcPr>
                  <w:tcW w:w="1170" w:type="dxa"/>
                  <w:vAlign w:val="center"/>
                </w:tcPr>
                <w:p>
                  <w:pPr>
                    <w:jc w:val="center"/>
                    <w:rPr>
                      <w:rFonts w:ascii="Times New Roman" w:hAnsi="Times New Roman" w:cs="Times New Roman"/>
                      <w:szCs w:val="18"/>
                    </w:rPr>
                  </w:pPr>
                  <w:r>
                    <w:rPr>
                      <w:rFonts w:ascii="Times New Roman" w:hAnsi="Times New Roman" w:cs="Times New Roman"/>
                      <w:szCs w:val="18"/>
                    </w:rPr>
                    <w:t>1.4～＜2.8</w:t>
                  </w:r>
                </w:p>
              </w:tc>
              <w:tc>
                <w:tcPr>
                  <w:tcW w:w="1169"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2.8～＜7</w:t>
                  </w:r>
                </w:p>
              </w:tc>
              <w:tc>
                <w:tcPr>
                  <w:tcW w:w="1170"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7～＜14</w:t>
                  </w:r>
                </w:p>
              </w:tc>
              <w:tc>
                <w:tcPr>
                  <w:tcW w:w="665" w:type="dxa"/>
                  <w:vAlign w:val="center"/>
                </w:tcPr>
                <w:p>
                  <w:pPr>
                    <w:jc w:val="center"/>
                    <w:rPr>
                      <w:rFonts w:ascii="Times New Roman" w:hAnsi="Times New Roman" w:cs="Times New Roman"/>
                      <w:szCs w:val="18"/>
                    </w:rPr>
                  </w:pPr>
                  <w:r>
                    <w:rPr>
                      <w:rFonts w:ascii="Times New Roman" w:hAnsi="Times New Roman" w:cs="Times New Roman"/>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Merge w:val="continue"/>
                  <w:vAlign w:val="center"/>
                </w:tcPr>
                <w:p>
                  <w:pPr>
                    <w:jc w:val="center"/>
                    <w:rPr>
                      <w:rFonts w:ascii="Times New Roman" w:hAnsi="Times New Roman" w:cs="Times New Roman"/>
                      <w:szCs w:val="21"/>
                    </w:rPr>
                  </w:pPr>
                </w:p>
              </w:tc>
              <w:tc>
                <w:tcPr>
                  <w:tcW w:w="601" w:type="dxa"/>
                  <w:vAlign w:val="center"/>
                </w:tcPr>
                <w:p>
                  <w:pPr>
                    <w:jc w:val="center"/>
                    <w:rPr>
                      <w:rFonts w:ascii="Times New Roman" w:hAnsi="Times New Roman" w:cs="Times New Roman"/>
                      <w:szCs w:val="21"/>
                    </w:rPr>
                  </w:pPr>
                  <w:r>
                    <w:rPr>
                      <w:rFonts w:ascii="Times New Roman" w:hAnsi="Times New Roman" w:cs="Times New Roman"/>
                      <w:szCs w:val="21"/>
                    </w:rPr>
                    <w:t>t/h</w:t>
                  </w:r>
                </w:p>
              </w:tc>
              <w:tc>
                <w:tcPr>
                  <w:tcW w:w="707" w:type="dxa"/>
                  <w:shd w:val="clear" w:color="auto" w:fill="BEBEBE" w:themeFill="background1" w:themeFillShade="BF"/>
                  <w:vAlign w:val="center"/>
                </w:tcPr>
                <w:p>
                  <w:pPr>
                    <w:jc w:val="center"/>
                    <w:rPr>
                      <w:rFonts w:ascii="Times New Roman" w:hAnsi="Times New Roman" w:cs="Times New Roman"/>
                      <w:szCs w:val="18"/>
                    </w:rPr>
                  </w:pPr>
                  <w:r>
                    <w:rPr>
                      <w:rFonts w:ascii="Times New Roman" w:hAnsi="Times New Roman" w:cs="Times New Roman"/>
                      <w:szCs w:val="18"/>
                    </w:rPr>
                    <w:t>＜1</w:t>
                  </w:r>
                </w:p>
              </w:tc>
              <w:tc>
                <w:tcPr>
                  <w:tcW w:w="1169"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1～＜2</w:t>
                  </w:r>
                </w:p>
              </w:tc>
              <w:tc>
                <w:tcPr>
                  <w:tcW w:w="1170" w:type="dxa"/>
                  <w:vAlign w:val="center"/>
                </w:tcPr>
                <w:p>
                  <w:pPr>
                    <w:jc w:val="center"/>
                    <w:rPr>
                      <w:rFonts w:ascii="Times New Roman" w:hAnsi="Times New Roman" w:cs="Times New Roman"/>
                      <w:szCs w:val="18"/>
                    </w:rPr>
                  </w:pPr>
                  <w:r>
                    <w:rPr>
                      <w:rFonts w:ascii="Times New Roman" w:hAnsi="Times New Roman" w:cs="Times New Roman"/>
                      <w:szCs w:val="18"/>
                    </w:rPr>
                    <w:t>2～＜4</w:t>
                  </w:r>
                </w:p>
              </w:tc>
              <w:tc>
                <w:tcPr>
                  <w:tcW w:w="1169"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4～＜10</w:t>
                  </w:r>
                </w:p>
              </w:tc>
              <w:tc>
                <w:tcPr>
                  <w:tcW w:w="1170" w:type="dxa"/>
                  <w:shd w:val="clear" w:color="auto" w:fill="auto"/>
                  <w:vAlign w:val="center"/>
                </w:tcPr>
                <w:p>
                  <w:pPr>
                    <w:jc w:val="center"/>
                    <w:rPr>
                      <w:rFonts w:ascii="Times New Roman" w:hAnsi="Times New Roman" w:cs="Times New Roman"/>
                      <w:szCs w:val="18"/>
                    </w:rPr>
                  </w:pPr>
                  <w:r>
                    <w:rPr>
                      <w:rFonts w:ascii="Times New Roman" w:hAnsi="Times New Roman" w:cs="Times New Roman"/>
                      <w:szCs w:val="18"/>
                    </w:rPr>
                    <w:t>10～＜20</w:t>
                  </w:r>
                </w:p>
              </w:tc>
              <w:tc>
                <w:tcPr>
                  <w:tcW w:w="665" w:type="dxa"/>
                  <w:vAlign w:val="center"/>
                </w:tcPr>
                <w:p>
                  <w:pPr>
                    <w:jc w:val="center"/>
                    <w:rPr>
                      <w:rFonts w:ascii="Times New Roman" w:hAnsi="Times New Roman" w:cs="Times New Roman"/>
                      <w:szCs w:val="18"/>
                    </w:rPr>
                  </w:pPr>
                  <w:r>
                    <w:rPr>
                      <w:rFonts w:ascii="Times New Roman" w:hAnsi="Times New Roman" w:cs="Times New Roman"/>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jc w:val="center"/>
                    <w:rPr>
                      <w:rFonts w:ascii="Times New Roman" w:hAnsi="Times New Roman" w:cs="Times New Roman"/>
                      <w:szCs w:val="21"/>
                    </w:rPr>
                  </w:pPr>
                  <w:r>
                    <w:rPr>
                      <w:rFonts w:ascii="Times New Roman" w:hAnsi="Times New Roman" w:cs="Times New Roman"/>
                      <w:szCs w:val="21"/>
                    </w:rPr>
                    <w:t>烟囱最低允许高度</w:t>
                  </w:r>
                </w:p>
              </w:tc>
              <w:tc>
                <w:tcPr>
                  <w:tcW w:w="601" w:type="dxa"/>
                  <w:vAlign w:val="center"/>
                </w:tcPr>
                <w:p>
                  <w:pPr>
                    <w:jc w:val="center"/>
                    <w:rPr>
                      <w:rFonts w:ascii="Times New Roman" w:hAnsi="Times New Roman" w:cs="Times New Roman"/>
                      <w:szCs w:val="21"/>
                    </w:rPr>
                  </w:pPr>
                  <w:r>
                    <w:rPr>
                      <w:rFonts w:ascii="Times New Roman" w:hAnsi="Times New Roman" w:cs="Times New Roman"/>
                      <w:szCs w:val="21"/>
                    </w:rPr>
                    <w:t>m</w:t>
                  </w:r>
                </w:p>
              </w:tc>
              <w:tc>
                <w:tcPr>
                  <w:tcW w:w="707" w:type="dxa"/>
                  <w:shd w:val="clear" w:color="auto" w:fill="BEBEBE" w:themeFill="background1" w:themeFillShade="BF"/>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169"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25</w:t>
                  </w:r>
                </w:p>
              </w:tc>
              <w:tc>
                <w:tcPr>
                  <w:tcW w:w="1170"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169"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17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40</w:t>
                  </w:r>
                </w:p>
              </w:tc>
              <w:tc>
                <w:tcPr>
                  <w:tcW w:w="665" w:type="dxa"/>
                  <w:vAlign w:val="center"/>
                </w:tcPr>
                <w:p>
                  <w:pPr>
                    <w:jc w:val="center"/>
                    <w:rPr>
                      <w:rFonts w:ascii="Times New Roman" w:hAnsi="Times New Roman" w:cs="Times New Roman"/>
                      <w:szCs w:val="21"/>
                    </w:rPr>
                  </w:pPr>
                  <w:r>
                    <w:rPr>
                      <w:rFonts w:ascii="Times New Roman" w:hAnsi="Times New Roman" w:cs="Times New Roman"/>
                      <w:szCs w:val="21"/>
                    </w:rPr>
                    <w:t>45</w:t>
                  </w:r>
                </w:p>
              </w:tc>
            </w:tr>
          </w:tbl>
          <w:p>
            <w:pPr>
              <w:spacing w:line="360" w:lineRule="auto"/>
              <w:ind w:firstLine="420" w:firstLineChars="200"/>
              <w:rPr>
                <w:rFonts w:hint="eastAsia" w:ascii="宋体" w:hAnsi="宋体" w:eastAsia="宋体" w:cs="宋体"/>
                <w:color w:val="auto"/>
                <w:sz w:val="24"/>
                <w:lang w:val="en-US" w:eastAsia="zh-CN" w:bidi="ar"/>
              </w:rPr>
            </w:pPr>
            <w:r>
              <w:rPr>
                <w:rFonts w:ascii="Times New Roman" w:hAnsi="Times New Roman" w:cs="Times New Roman"/>
                <w:szCs w:val="24"/>
              </w:rPr>
              <w:t>注：阴影部分为本项目烟囱高度设置要求。本项目设置2</w:t>
            </w:r>
            <w:r>
              <w:rPr>
                <w:rFonts w:hint="eastAsia" w:ascii="Times New Roman" w:hAnsi="Times New Roman" w:cs="Times New Roman"/>
                <w:szCs w:val="24"/>
                <w:lang w:val="en-US" w:eastAsia="zh-CN"/>
              </w:rPr>
              <w:t>0</w:t>
            </w:r>
            <w:r>
              <w:rPr>
                <w:rFonts w:ascii="Times New Roman" w:hAnsi="Times New Roman" w:cs="Times New Roman"/>
                <w:szCs w:val="24"/>
              </w:rPr>
              <w:t>m高烟囱。</w:t>
            </w:r>
          </w:p>
          <w:p>
            <w:pPr>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③</w:t>
            </w:r>
            <w:r>
              <w:rPr>
                <w:rFonts w:hint="default" w:ascii="Times New Roman" w:hAnsi="Times New Roman" w:eastAsia="宋体" w:cs="Times New Roman"/>
                <w:color w:val="auto"/>
                <w:sz w:val="24"/>
                <w:lang w:bidi="ar"/>
              </w:rPr>
              <w:t>本项目排放的颗粒物执行《大气污染物综合排放标准》(GB16297-1996)表 2 中相关排放标准。</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大气污染物排放标准见表4-</w:t>
            </w:r>
            <w:r>
              <w:rPr>
                <w:rFonts w:hint="default" w:ascii="Times New Roman" w:hAnsi="Times New Roman" w:eastAsia="宋体" w:cs="Times New Roman"/>
                <w:color w:val="auto"/>
                <w:sz w:val="24"/>
                <w:lang w:val="en-US" w:eastAsia="zh-CN" w:bidi="ar"/>
              </w:rPr>
              <w:t>6</w:t>
            </w:r>
            <w:r>
              <w:rPr>
                <w:rFonts w:hint="default" w:ascii="Times New Roman" w:hAnsi="Times New Roman" w:eastAsia="宋体" w:cs="Times New Roman"/>
                <w:color w:val="auto"/>
                <w:sz w:val="24"/>
                <w:lang w:bidi="ar"/>
              </w:rPr>
              <w:t>。</w:t>
            </w:r>
          </w:p>
          <w:p>
            <w:pPr>
              <w:pStyle w:val="34"/>
              <w:spacing w:beforeLines="0" w:line="400" w:lineRule="exact"/>
              <w:ind w:firstLine="0" w:firstLineChars="0"/>
              <w:jc w:val="center"/>
              <w:rPr>
                <w:rFonts w:hint="default" w:ascii="Times New Roman" w:hAnsi="Times New Roman" w:cs="Times New Roman"/>
                <w:b/>
              </w:rPr>
            </w:pPr>
            <w:r>
              <w:rPr>
                <w:rFonts w:hint="default" w:ascii="Times New Roman" w:hAnsi="Times New Roman" w:cs="Times New Roman"/>
                <w:b/>
              </w:rPr>
              <w:t>表4-</w:t>
            </w:r>
            <w:r>
              <w:rPr>
                <w:rFonts w:hint="default" w:ascii="Times New Roman" w:hAnsi="Times New Roman" w:cs="Times New Roman"/>
                <w:b/>
                <w:lang w:val="en-US" w:eastAsia="zh-CN"/>
              </w:rPr>
              <w:t>6</w:t>
            </w:r>
            <w:r>
              <w:rPr>
                <w:rFonts w:hint="default" w:ascii="Times New Roman" w:hAnsi="Times New Roman" w:cs="Times New Roman"/>
                <w:b/>
              </w:rPr>
              <w:t xml:space="preserve">  大气污染物排放标准</w:t>
            </w:r>
          </w:p>
          <w:tbl>
            <w:tblPr>
              <w:tblStyle w:val="15"/>
              <w:tblW w:w="7780" w:type="dxa"/>
              <w:tblInd w:w="0" w:type="dxa"/>
              <w:tblLayout w:type="fixed"/>
              <w:tblCellMar>
                <w:top w:w="0" w:type="dxa"/>
                <w:left w:w="108" w:type="dxa"/>
                <w:bottom w:w="0" w:type="dxa"/>
                <w:right w:w="108" w:type="dxa"/>
              </w:tblCellMar>
            </w:tblPr>
            <w:tblGrid>
              <w:gridCol w:w="1714"/>
              <w:gridCol w:w="977"/>
              <w:gridCol w:w="776"/>
              <w:gridCol w:w="1034"/>
              <w:gridCol w:w="904"/>
              <w:gridCol w:w="2375"/>
            </w:tblGrid>
            <w:tr>
              <w:tblPrEx>
                <w:tblLayout w:type="fixed"/>
                <w:tblCellMar>
                  <w:top w:w="0" w:type="dxa"/>
                  <w:left w:w="108" w:type="dxa"/>
                  <w:bottom w:w="0" w:type="dxa"/>
                  <w:right w:w="108" w:type="dxa"/>
                </w:tblCellMar>
              </w:tblPrEx>
              <w:trPr>
                <w:trHeight w:val="525" w:hRule="atLeast"/>
              </w:trPr>
              <w:tc>
                <w:tcPr>
                  <w:tcW w:w="1714" w:type="dxa"/>
                  <w:vMerge w:val="restart"/>
                  <w:tcBorders>
                    <w:top w:val="single" w:color="auto" w:sz="4" w:space="0"/>
                    <w:left w:val="single" w:color="auto" w:sz="4"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3691" w:type="dxa"/>
                  <w:gridSpan w:val="4"/>
                  <w:tcBorders>
                    <w:top w:val="single" w:color="auto" w:sz="4"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限值</w:t>
                  </w:r>
                </w:p>
              </w:tc>
              <w:tc>
                <w:tcPr>
                  <w:tcW w:w="2375" w:type="dxa"/>
                  <w:vMerge w:val="restart"/>
                  <w:tcBorders>
                    <w:top w:val="single" w:color="auto" w:sz="4" w:space="0"/>
                    <w:left w:val="single" w:color="auto" w:sz="6" w:space="0"/>
                    <w:bottom w:val="single" w:color="auto" w:sz="6"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标准来源</w:t>
                  </w:r>
                </w:p>
              </w:tc>
            </w:tr>
            <w:tr>
              <w:tblPrEx>
                <w:tblLayout w:type="fixed"/>
                <w:tblCellMar>
                  <w:top w:w="0" w:type="dxa"/>
                  <w:left w:w="108" w:type="dxa"/>
                  <w:bottom w:w="0" w:type="dxa"/>
                  <w:right w:w="108" w:type="dxa"/>
                </w:tblCellMar>
              </w:tblPrEx>
              <w:trPr>
                <w:trHeight w:val="1065" w:hRule="atLeast"/>
              </w:trPr>
              <w:tc>
                <w:tcPr>
                  <w:tcW w:w="1714" w:type="dxa"/>
                  <w:vMerge w:val="continue"/>
                  <w:tcBorders>
                    <w:top w:val="single" w:color="auto" w:sz="4" w:space="0"/>
                    <w:left w:val="single" w:color="auto" w:sz="4" w:space="0"/>
                    <w:bottom w:val="single" w:color="auto" w:sz="6" w:space="0"/>
                    <w:right w:val="single" w:color="auto" w:sz="6" w:space="0"/>
                  </w:tcBorders>
                  <w:vAlign w:val="center"/>
                </w:tcPr>
                <w:p>
                  <w:pPr>
                    <w:spacing w:line="240" w:lineRule="auto"/>
                    <w:ind w:firstLine="0" w:firstLineChars="0"/>
                    <w:jc w:val="left"/>
                    <w:rPr>
                      <w:rFonts w:hint="default" w:ascii="Times New Roman" w:hAnsi="Times New Roman" w:cs="Times New Roman"/>
                      <w:color w:val="auto"/>
                      <w:sz w:val="21"/>
                      <w:szCs w:val="21"/>
                    </w:rPr>
                  </w:pPr>
                </w:p>
              </w:tc>
              <w:tc>
                <w:tcPr>
                  <w:tcW w:w="9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最高允许排放浓度(mg/m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7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排气筒高度(m)</w:t>
                  </w:r>
                </w:p>
              </w:tc>
              <w:tc>
                <w:tcPr>
                  <w:tcW w:w="10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排放速率(kg/h)</w:t>
                  </w:r>
                </w:p>
              </w:tc>
              <w:tc>
                <w:tcPr>
                  <w:tcW w:w="9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无组织排放监控浓度限值(mg/m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2375" w:type="dxa"/>
                  <w:vMerge w:val="continue"/>
                  <w:tcBorders>
                    <w:top w:val="single" w:color="auto" w:sz="4" w:space="0"/>
                    <w:left w:val="single" w:color="auto" w:sz="6" w:space="0"/>
                    <w:bottom w:val="single" w:color="auto" w:sz="6" w:space="0"/>
                    <w:right w:val="single" w:color="auto" w:sz="4" w:space="0"/>
                  </w:tcBorders>
                  <w:vAlign w:val="center"/>
                </w:tcPr>
                <w:p>
                  <w:pPr>
                    <w:spacing w:line="240" w:lineRule="auto"/>
                    <w:ind w:firstLine="0" w:firstLineChars="0"/>
                    <w:jc w:val="left"/>
                    <w:rPr>
                      <w:rFonts w:hint="default" w:ascii="Times New Roman" w:hAnsi="Times New Roman" w:cs="Times New Roman"/>
                      <w:color w:val="auto"/>
                      <w:sz w:val="21"/>
                      <w:szCs w:val="21"/>
                    </w:rPr>
                  </w:pPr>
                </w:p>
              </w:tc>
            </w:tr>
            <w:tr>
              <w:tblPrEx>
                <w:tblLayout w:type="fixed"/>
                <w:tblCellMar>
                  <w:top w:w="0" w:type="dxa"/>
                  <w:left w:w="108" w:type="dxa"/>
                  <w:bottom w:w="0" w:type="dxa"/>
                  <w:right w:w="108" w:type="dxa"/>
                </w:tblCellMar>
              </w:tblPrEx>
              <w:trPr>
                <w:trHeight w:val="285" w:hRule="atLeast"/>
              </w:trPr>
              <w:tc>
                <w:tcPr>
                  <w:tcW w:w="1714"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颗粒物</w:t>
                  </w:r>
                </w:p>
              </w:tc>
              <w:tc>
                <w:tcPr>
                  <w:tcW w:w="9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7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0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3.5</w:t>
                  </w:r>
                </w:p>
              </w:tc>
              <w:tc>
                <w:tcPr>
                  <w:tcW w:w="9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2375" w:type="dxa"/>
                  <w:tcBorders>
                    <w:top w:val="single" w:color="auto" w:sz="6" w:space="0"/>
                    <w:left w:val="single" w:color="auto" w:sz="6" w:space="0"/>
                    <w:right w:val="single" w:color="auto" w:sz="4" w:space="0"/>
                  </w:tcBorders>
                  <w:vAlign w:val="center"/>
                </w:tcPr>
                <w:p>
                  <w:pPr>
                    <w:adjustRightInd w:val="0"/>
                    <w:snapToGrid w:val="0"/>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《大气污染物综合排放标准》(GB16297-1996)</w:t>
                  </w:r>
                </w:p>
              </w:tc>
            </w:tr>
          </w:tbl>
          <w:p>
            <w:pPr>
              <w:spacing w:line="360" w:lineRule="auto"/>
              <w:ind w:firstLine="482" w:firstLineChars="200"/>
              <w:rPr>
                <w:rFonts w:ascii="Times New Roman" w:hAnsi="Times New Roman" w:eastAsia="宋体" w:cs="Times New Roman"/>
                <w:b/>
                <w:color w:val="auto"/>
                <w:sz w:val="24"/>
              </w:rPr>
            </w:pPr>
            <w:r>
              <w:rPr>
                <w:rFonts w:hint="eastAsia" w:ascii="宋体" w:hAnsi="宋体" w:eastAsia="宋体" w:cs="宋体"/>
                <w:b/>
                <w:color w:val="auto"/>
                <w:sz w:val="24"/>
                <w:lang w:val="en-US" w:eastAsia="zh-CN" w:bidi="ar"/>
              </w:rPr>
              <w:t>2</w:t>
            </w:r>
            <w:r>
              <w:rPr>
                <w:rFonts w:hint="eastAsia" w:ascii="宋体" w:hAnsi="宋体" w:eastAsia="宋体" w:cs="宋体"/>
                <w:b/>
                <w:color w:val="auto"/>
                <w:sz w:val="24"/>
                <w:lang w:bidi="ar"/>
              </w:rPr>
              <w:t>、噪声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本项目声环境四周厂界执行《工业企业厂界环境噪声排放标准》（GB 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标准值见表4-</w:t>
            </w:r>
            <w:r>
              <w:rPr>
                <w:rFonts w:hint="eastAsia" w:ascii="Times New Roman" w:hAnsi="Times New Roman" w:eastAsia="宋体" w:cs="Times New Roman"/>
                <w:color w:val="auto"/>
                <w:sz w:val="24"/>
                <w:lang w:val="en-US" w:eastAsia="zh-CN" w:bidi="ar"/>
              </w:rPr>
              <w:t>5</w:t>
            </w:r>
            <w:r>
              <w:rPr>
                <w:rFonts w:hint="eastAsia" w:ascii="宋体" w:hAnsi="宋体" w:eastAsia="宋体" w:cs="宋体"/>
                <w:color w:val="auto"/>
                <w:sz w:val="24"/>
                <w:lang w:bidi="ar"/>
              </w:rPr>
              <w:t>。</w:t>
            </w:r>
          </w:p>
          <w:p>
            <w:pPr>
              <w:spacing w:line="360" w:lineRule="auto"/>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表4-</w:t>
            </w:r>
            <w:r>
              <w:rPr>
                <w:rFonts w:hint="eastAsia" w:ascii="Times New Roman" w:hAnsi="Times New Roman" w:eastAsia="宋体" w:cs="Times New Roman"/>
                <w:b/>
                <w:color w:val="auto"/>
                <w:sz w:val="24"/>
                <w:lang w:val="en-US" w:eastAsia="zh-CN" w:bidi="ar"/>
              </w:rPr>
              <w:t>5</w:t>
            </w:r>
            <w:r>
              <w:rPr>
                <w:rFonts w:hint="eastAsia" w:ascii="宋体" w:hAnsi="宋体" w:eastAsia="宋体" w:cs="宋体"/>
                <w:b/>
                <w:color w:val="auto"/>
                <w:sz w:val="24"/>
                <w:lang w:bidi="ar"/>
              </w:rPr>
              <w:t>工业企业厂界环境噪声排放限值单位：</w:t>
            </w:r>
            <w:r>
              <w:rPr>
                <w:rFonts w:ascii="Times New Roman" w:hAnsi="Times New Roman" w:eastAsia="宋体" w:cs="Times New Roman"/>
                <w:b/>
                <w:color w:val="auto"/>
                <w:sz w:val="24"/>
                <w:lang w:bidi="ar"/>
              </w:rPr>
              <w:t>dB</w:t>
            </w:r>
            <w:r>
              <w:rPr>
                <w:rFonts w:hint="eastAsia" w:ascii="宋体" w:hAnsi="宋体" w:eastAsia="宋体" w:cs="宋体"/>
                <w:b/>
                <w:color w:val="auto"/>
                <w:sz w:val="24"/>
                <w:lang w:bidi="ar"/>
              </w:rPr>
              <w:t>（</w:t>
            </w:r>
            <w:r>
              <w:rPr>
                <w:rFonts w:ascii="Times New Roman" w:hAnsi="Times New Roman" w:eastAsia="宋体" w:cs="Times New Roman"/>
                <w:b/>
                <w:color w:val="auto"/>
                <w:sz w:val="24"/>
                <w:lang w:bidi="ar"/>
              </w:rPr>
              <w:t>A</w:t>
            </w:r>
            <w:r>
              <w:rPr>
                <w:rFonts w:hint="eastAsia" w:ascii="宋体" w:hAnsi="宋体" w:eastAsia="宋体" w:cs="宋体"/>
                <w:b/>
                <w:color w:val="auto"/>
                <w:sz w:val="24"/>
                <w:lang w:bidi="ar"/>
              </w:rPr>
              <w:t>）</w:t>
            </w:r>
          </w:p>
          <w:tbl>
            <w:tblPr>
              <w:tblStyle w:val="15"/>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40"/>
              <w:gridCol w:w="121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声环境功能区划类别</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昼间</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夜间</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执行区域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2</w:t>
                  </w:r>
                  <w:r>
                    <w:rPr>
                      <w:rFonts w:hint="eastAsia" w:ascii="宋体" w:hAnsi="宋体" w:eastAsia="宋体" w:cs="宋体"/>
                      <w:color w:val="auto"/>
                      <w:szCs w:val="21"/>
                      <w:lang w:bidi="ar"/>
                    </w:rPr>
                    <w:t>类</w:t>
                  </w:r>
                </w:p>
              </w:tc>
              <w:tc>
                <w:tcPr>
                  <w:tcW w:w="11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60</w:t>
                  </w:r>
                </w:p>
              </w:tc>
              <w:tc>
                <w:tcPr>
                  <w:tcW w:w="121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50</w:t>
                  </w:r>
                </w:p>
              </w:tc>
              <w:tc>
                <w:tcPr>
                  <w:tcW w:w="284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lang w:bidi="ar"/>
                    </w:rPr>
                    <w:t>东、南、西、北厂界</w:t>
                  </w:r>
                </w:p>
              </w:tc>
            </w:tr>
          </w:tbl>
          <w:p>
            <w:pPr>
              <w:spacing w:line="360" w:lineRule="auto"/>
              <w:ind w:firstLine="482" w:firstLineChars="200"/>
              <w:rPr>
                <w:rFonts w:ascii="Times New Roman" w:hAnsi="Times New Roman" w:eastAsia="宋体" w:cs="Times New Roman"/>
                <w:b/>
                <w:color w:val="auto"/>
                <w:sz w:val="24"/>
              </w:rPr>
            </w:pPr>
            <w:r>
              <w:rPr>
                <w:rFonts w:hint="eastAsia" w:ascii="Times New Roman" w:hAnsi="Times New Roman" w:eastAsia="宋体" w:cs="Times New Roman"/>
                <w:b/>
                <w:color w:val="auto"/>
                <w:sz w:val="24"/>
                <w:lang w:val="en-US" w:eastAsia="zh-CN" w:bidi="ar"/>
              </w:rPr>
              <w:t>3</w:t>
            </w:r>
            <w:r>
              <w:rPr>
                <w:rFonts w:hint="eastAsia" w:ascii="宋体" w:hAnsi="宋体" w:eastAsia="宋体" w:cs="宋体"/>
                <w:b/>
                <w:color w:val="auto"/>
                <w:sz w:val="24"/>
                <w:lang w:bidi="ar"/>
              </w:rPr>
              <w:t>、固体废弃物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一般固废执行《一般工业固体废物贮存、处置污染控制标准》（GB18599-2001</w:t>
            </w:r>
            <w:r>
              <w:rPr>
                <w:rFonts w:hint="eastAsia" w:ascii="宋体" w:hAnsi="宋体" w:eastAsia="宋体" w:cs="宋体"/>
                <w:color w:val="auto"/>
                <w:sz w:val="24"/>
                <w:lang w:bidi="ar"/>
              </w:rPr>
              <w:t>），同时执行环境保护部公告</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号《关于发布（一般工业固体废物贮存、处置场污染控制标准）（</w:t>
            </w:r>
            <w:r>
              <w:rPr>
                <w:rFonts w:ascii="Times New Roman" w:hAnsi="Times New Roman" w:eastAsia="宋体" w:cs="Times New Roman"/>
                <w:color w:val="auto"/>
                <w:sz w:val="24"/>
                <w:lang w:bidi="ar"/>
              </w:rPr>
              <w:t>GB18597-2001</w:t>
            </w:r>
            <w:r>
              <w:rPr>
                <w:rFonts w:hint="eastAsia" w:ascii="宋体" w:hAnsi="宋体" w:eastAsia="宋体" w:cs="宋体"/>
                <w:color w:val="auto"/>
                <w:sz w:val="24"/>
                <w:lang w:bidi="ar"/>
              </w:rPr>
              <w:t>）等</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bidi="ar"/>
              </w:rPr>
              <w:t>项国家污染物控制标准修改单的公告》中修改单。</w:t>
            </w:r>
          </w:p>
        </w:tc>
      </w:tr>
    </w:tbl>
    <w:p>
      <w:pPr>
        <w:sectPr>
          <w:pgSz w:w="11906" w:h="16838"/>
          <w:pgMar w:top="1440" w:right="1800" w:bottom="1440" w:left="1800" w:header="851" w:footer="992" w:gutter="0"/>
          <w:pgNumType w:fmt="decimal"/>
          <w:cols w:space="425" w:num="1"/>
          <w:docGrid w:type="lines" w:linePitch="312" w:charSpace="0"/>
        </w:sectPr>
      </w:pPr>
    </w:p>
    <w:p>
      <w:pPr>
        <w:pStyle w:val="17"/>
      </w:pPr>
    </w:p>
    <w:tbl>
      <w:tblPr>
        <w:tblStyle w:val="16"/>
        <w:tblW w:w="14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134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66" w:type="dxa"/>
            <w:tcBorders>
              <w:top w:val="single" w:color="auto" w:sz="6" w:space="0"/>
              <w:left w:val="single" w:color="auto" w:sz="12" w:space="0"/>
              <w:bottom w:val="single" w:color="auto" w:sz="12" w:space="0"/>
              <w:right w:val="single" w:color="auto" w:sz="6" w:space="0"/>
            </w:tcBorders>
            <w:shd w:val="clear" w:color="auto" w:fill="auto"/>
            <w:vAlign w:val="center"/>
          </w:tcPr>
          <w:p>
            <w:pPr>
              <w:spacing w:line="360" w:lineRule="auto"/>
              <w:jc w:val="both"/>
              <w:rPr>
                <w:rFonts w:ascii="Times New Roman" w:hAnsi="Times New Roman" w:eastAsia="宋体" w:cs="Times New Roman"/>
                <w:b/>
                <w:color w:val="auto"/>
                <w:sz w:val="24"/>
              </w:rPr>
            </w:pPr>
            <w:r>
              <w:rPr>
                <w:rFonts w:ascii="Times New Roman" w:hAnsi="Times New Roman" w:eastAsia="宋体" w:cs="Times New Roman"/>
                <w:b/>
                <w:color w:val="auto"/>
                <w:sz w:val="24"/>
                <w:lang w:bidi="ar"/>
              </w:rPr>
              <w:t>总量控制指标</w:t>
            </w:r>
          </w:p>
        </w:tc>
        <w:tc>
          <w:tcPr>
            <w:tcW w:w="13408" w:type="dxa"/>
            <w:tcBorders>
              <w:top w:val="single" w:color="auto" w:sz="6" w:space="0"/>
              <w:left w:val="single" w:color="auto" w:sz="6" w:space="0"/>
              <w:bottom w:val="single" w:color="auto" w:sz="12"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、总量控制指标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项目实施后，污染物总量控制指标见表4-</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w:t>
            </w:r>
          </w:p>
          <w:p>
            <w:pPr>
              <w:spacing w:line="360" w:lineRule="auto"/>
              <w:ind w:firstLine="482"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lang w:bidi="ar"/>
              </w:rPr>
              <w:t>表4-</w:t>
            </w:r>
            <w:r>
              <w:rPr>
                <w:rFonts w:hint="eastAsia" w:ascii="Times New Roman" w:hAnsi="Times New Roman" w:eastAsia="宋体" w:cs="Times New Roman"/>
                <w:b/>
                <w:color w:val="auto"/>
                <w:sz w:val="24"/>
                <w:lang w:val="en-US" w:eastAsia="zh-CN" w:bidi="ar"/>
              </w:rPr>
              <w:t>6</w:t>
            </w:r>
            <w:r>
              <w:rPr>
                <w:rFonts w:ascii="Times New Roman" w:hAnsi="Times New Roman" w:eastAsia="宋体" w:cs="Times New Roman"/>
                <w:b/>
                <w:color w:val="auto"/>
                <w:sz w:val="24"/>
                <w:lang w:bidi="ar"/>
              </w:rPr>
              <w:t>项目污染物总量控制一览表单位：t/a</w:t>
            </w:r>
          </w:p>
          <w:tbl>
            <w:tblPr>
              <w:tblStyle w:val="15"/>
              <w:tblW w:w="13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92"/>
              <w:gridCol w:w="1405"/>
              <w:gridCol w:w="1198"/>
              <w:gridCol w:w="1199"/>
              <w:gridCol w:w="1198"/>
              <w:gridCol w:w="1199"/>
              <w:gridCol w:w="1198"/>
              <w:gridCol w:w="1199"/>
              <w:gridCol w:w="1198"/>
              <w:gridCol w:w="1199"/>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2397"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污染物名称</w:t>
                  </w:r>
                </w:p>
              </w:tc>
              <w:tc>
                <w:tcPr>
                  <w:tcW w:w="239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原有项目</w:t>
                  </w:r>
                </w:p>
              </w:tc>
              <w:tc>
                <w:tcPr>
                  <w:tcW w:w="119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“以新带老”削减量</w:t>
                  </w:r>
                </w:p>
              </w:tc>
              <w:tc>
                <w:tcPr>
                  <w:tcW w:w="3596" w:type="dxa"/>
                  <w:gridSpan w:val="3"/>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本项目</w:t>
                  </w:r>
                </w:p>
              </w:tc>
              <w:tc>
                <w:tcPr>
                  <w:tcW w:w="119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本项目建成后全厂排放量</w:t>
                  </w:r>
                </w:p>
              </w:tc>
              <w:tc>
                <w:tcPr>
                  <w:tcW w:w="119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新增排放量（接管量）</w:t>
                  </w:r>
                </w:p>
              </w:tc>
              <w:tc>
                <w:tcPr>
                  <w:tcW w:w="119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排入外环境增减量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2397" w:type="dxa"/>
                  <w:gridSpan w:val="2"/>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实际排放量</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sz w:val="21"/>
                      <w:szCs w:val="21"/>
                      <w:u w:val="none"/>
                    </w:rPr>
                    <w:t>自查评估核定排放量</w:t>
                  </w:r>
                </w:p>
              </w:tc>
              <w:tc>
                <w:tcPr>
                  <w:tcW w:w="1198"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削减量</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排放量</w:t>
                  </w:r>
                </w:p>
              </w:tc>
              <w:tc>
                <w:tcPr>
                  <w:tcW w:w="1198"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c>
                <w:tcPr>
                  <w:tcW w:w="1199"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c>
                <w:tcPr>
                  <w:tcW w:w="1198"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废水</w:t>
                  </w: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废水量（m</w:t>
                  </w:r>
                  <w:r>
                    <w:rPr>
                      <w:rStyle w:val="48"/>
                      <w:rFonts w:hint="default" w:ascii="Times New Roman" w:hAnsi="Times New Roman" w:cs="Times New Roman"/>
                      <w:lang w:val="en-US" w:eastAsia="zh-CN" w:bidi="ar"/>
                    </w:rPr>
                    <w:t>3</w:t>
                  </w:r>
                  <w:r>
                    <w:rPr>
                      <w:rFonts w:hint="default" w:ascii="Times New Roman" w:hAnsi="Times New Roman" w:eastAsia="宋体" w:cs="Times New Roman"/>
                      <w:i w:val="0"/>
                      <w:color w:val="000000"/>
                      <w:kern w:val="0"/>
                      <w:sz w:val="21"/>
                      <w:szCs w:val="21"/>
                      <w:u w:val="none"/>
                      <w:lang w:val="en-US" w:eastAsia="zh-CN" w:bidi="ar"/>
                    </w:rPr>
                    <w:t>/a）</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eastAsia" w:ascii="Times New Roman" w:hAnsi="Times New Roman" w:cs="Times New Roman"/>
                      <w:color w:val="000000"/>
                      <w:kern w:val="0"/>
                      <w:szCs w:val="21"/>
                      <w:lang w:val="en-US" w:eastAsia="zh-CN"/>
                    </w:rPr>
                    <w:t>192</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192</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192</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COD</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等线" w:cs="Times New Roman"/>
                      <w:i w:val="0"/>
                      <w:color w:val="000000"/>
                      <w:sz w:val="21"/>
                      <w:szCs w:val="21"/>
                      <w:u w:val="none"/>
                    </w:rPr>
                  </w:pPr>
                  <w:r>
                    <w:rPr>
                      <w:rFonts w:hint="eastAsia" w:ascii="Times New Roman" w:hAnsi="Times New Roman" w:cs="Times New Roman"/>
                      <w:color w:val="000000"/>
                      <w:kern w:val="0"/>
                      <w:szCs w:val="21"/>
                      <w:lang w:val="en-US" w:eastAsia="zh-CN"/>
                    </w:rPr>
                    <w:t>0.096</w:t>
                  </w:r>
                </w:p>
              </w:tc>
              <w:tc>
                <w:tcPr>
                  <w:tcW w:w="1199"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0.096</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0.096</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SS</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等线" w:cs="Times New Roman"/>
                      <w:i w:val="0"/>
                      <w:color w:val="000000"/>
                      <w:sz w:val="21"/>
                      <w:szCs w:val="21"/>
                      <w:u w:val="none"/>
                    </w:rPr>
                  </w:pPr>
                  <w:r>
                    <w:rPr>
                      <w:rFonts w:hint="eastAsia" w:ascii="Times New Roman" w:hAnsi="Times New Roman" w:cs="Times New Roman"/>
                      <w:color w:val="000000"/>
                      <w:kern w:val="0"/>
                      <w:szCs w:val="21"/>
                      <w:lang w:val="en-US" w:eastAsia="zh-CN"/>
                    </w:rPr>
                    <w:t>0.077</w:t>
                  </w:r>
                </w:p>
              </w:tc>
              <w:tc>
                <w:tcPr>
                  <w:tcW w:w="1199"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0.077</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0.077</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NH3-N</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等线" w:cs="Times New Roman"/>
                      <w:i w:val="0"/>
                      <w:color w:val="000000"/>
                      <w:sz w:val="21"/>
                      <w:szCs w:val="21"/>
                      <w:u w:val="none"/>
                    </w:rPr>
                  </w:pPr>
                  <w:r>
                    <w:rPr>
                      <w:rFonts w:hint="eastAsia" w:ascii="Times New Roman" w:hAnsi="Times New Roman" w:cs="Times New Roman"/>
                      <w:color w:val="000000"/>
                      <w:kern w:val="0"/>
                      <w:szCs w:val="21"/>
                      <w:lang w:val="en-US" w:eastAsia="zh-CN"/>
                    </w:rPr>
                    <w:t>0.006</w:t>
                  </w:r>
                </w:p>
              </w:tc>
              <w:tc>
                <w:tcPr>
                  <w:tcW w:w="1199"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0.006</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0.006</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TP</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等线" w:cs="Times New Roman"/>
                      <w:i w:val="0"/>
                      <w:color w:val="000000"/>
                      <w:sz w:val="21"/>
                      <w:szCs w:val="21"/>
                      <w:u w:val="none"/>
                    </w:rPr>
                  </w:pPr>
                  <w:r>
                    <w:rPr>
                      <w:rFonts w:hint="eastAsia" w:ascii="Times New Roman" w:hAnsi="Times New Roman" w:cs="Times New Roman"/>
                      <w:color w:val="000000"/>
                      <w:kern w:val="0"/>
                      <w:szCs w:val="21"/>
                      <w:lang w:val="en-US" w:eastAsia="zh-CN"/>
                    </w:rPr>
                    <w:t>0.001</w:t>
                  </w:r>
                </w:p>
              </w:tc>
              <w:tc>
                <w:tcPr>
                  <w:tcW w:w="1199"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0.001</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widowControl/>
                    <w:jc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color w:val="000000"/>
                      <w:kern w:val="0"/>
                      <w:szCs w:val="21"/>
                      <w:lang w:val="en-US" w:eastAsia="zh-CN"/>
                    </w:rPr>
                    <w:t>0.001</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有组织废气</w:t>
                  </w:r>
                </w:p>
              </w:tc>
              <w:tc>
                <w:tcPr>
                  <w:tcW w:w="1405"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sz w:val="21"/>
                      <w:szCs w:val="21"/>
                      <w:u w:val="none"/>
                      <w:lang w:val="en-US" w:eastAsia="zh-CN"/>
                    </w:rPr>
                  </w:pPr>
                  <w:r>
                    <w:rPr>
                      <w:rFonts w:hint="eastAsia" w:ascii="Times New Roman" w:hAnsi="Times New Roman" w:eastAsia="等线" w:cs="Times New Roman"/>
                      <w:i w:val="0"/>
                      <w:color w:val="000000"/>
                      <w:sz w:val="21"/>
                      <w:szCs w:val="21"/>
                      <w:u w:val="none"/>
                      <w:lang w:val="en-US" w:eastAsia="zh-CN"/>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sz w:val="21"/>
                      <w:szCs w:val="21"/>
                      <w:lang w:val="en-US" w:eastAsia="zh-CN"/>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颗粒物</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sz w:val="21"/>
                      <w:szCs w:val="21"/>
                      <w:u w:val="none"/>
                      <w:lang w:val="en-US" w:eastAsia="zh-CN"/>
                    </w:rPr>
                  </w:pPr>
                  <w:r>
                    <w:rPr>
                      <w:rFonts w:hint="eastAsia" w:ascii="Times New Roman" w:hAnsi="Times New Roman" w:eastAsia="等线" w:cs="Times New Roman"/>
                      <w:i w:val="0"/>
                      <w:color w:val="000000"/>
                      <w:sz w:val="21"/>
                      <w:szCs w:val="21"/>
                      <w:u w:val="none"/>
                      <w:lang w:val="en-US" w:eastAsia="zh-CN"/>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0.3</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0.285</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0.015</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0.015</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0.015</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无组织废气</w:t>
                  </w:r>
                </w:p>
              </w:tc>
              <w:tc>
                <w:tcPr>
                  <w:tcW w:w="1405"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0"/>
                      <w:szCs w:val="21"/>
                      <w:lang w:val="en-US" w:eastAsia="zh-CN"/>
                    </w:rPr>
                    <w:t>颗粒物</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3.6</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3.6</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sz w:val="21"/>
                      <w:szCs w:val="21"/>
                      <w:lang w:val="en-US" w:eastAsia="zh-CN"/>
                    </w:rPr>
                    <w:t>2</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kern w:val="0"/>
                      <w:sz w:val="21"/>
                      <w:szCs w:val="21"/>
                      <w:lang w:val="en-US" w:eastAsia="zh-CN" w:bidi="ar"/>
                    </w:rPr>
                    <w:t>1.9</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sz w:val="21"/>
                      <w:szCs w:val="21"/>
                      <w:lang w:val="en-US" w:eastAsia="zh-CN"/>
                    </w:rPr>
                    <w:t>0.1</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3.7</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sz w:val="21"/>
                      <w:szCs w:val="21"/>
                      <w:lang w:val="en-US" w:eastAsia="zh-CN"/>
                    </w:rPr>
                    <w:t>0.1</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rPr>
              <w:tc>
                <w:tcPr>
                  <w:tcW w:w="9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固废</w:t>
                  </w:r>
                </w:p>
              </w:tc>
              <w:tc>
                <w:tcPr>
                  <w:tcW w:w="1405"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生活垃圾</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bCs/>
                      <w:color w:val="auto"/>
                      <w:kern w:val="0"/>
                      <w:sz w:val="21"/>
                      <w:szCs w:val="21"/>
                      <w:lang w:val="en-US" w:eastAsia="zh-CN" w:bidi="ar"/>
                    </w:rPr>
                    <w:t>0</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bCs/>
                      <w:color w:val="auto"/>
                      <w:kern w:val="0"/>
                      <w:sz w:val="21"/>
                      <w:szCs w:val="21"/>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szCs w:val="21"/>
                      <w:lang w:val="en-US" w:eastAsia="zh-CN"/>
                    </w:rPr>
                    <w:t>0.285</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szCs w:val="21"/>
                      <w:lang w:val="en-US" w:eastAsia="zh-CN"/>
                    </w:rPr>
                    <w:t>0.285</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92"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危险固废</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9"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w:t>
                  </w:r>
                </w:p>
              </w:tc>
              <w:tc>
                <w:tcPr>
                  <w:tcW w:w="1198" w:type="dxa"/>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bCs/>
                      <w:color w:val="auto"/>
                      <w:kern w:val="0"/>
                      <w:sz w:val="21"/>
                      <w:szCs w:val="21"/>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9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19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r>
          </w:tbl>
          <w:p>
            <w:pPr>
              <w:ind w:firstLine="360" w:firstLineChars="200"/>
              <w:rPr>
                <w:rFonts w:ascii="宋体" w:hAnsi="宋体"/>
                <w:color w:val="000000"/>
                <w:sz w:val="18"/>
                <w:szCs w:val="18"/>
              </w:rPr>
            </w:pPr>
            <w:r>
              <w:rPr>
                <w:rFonts w:hint="eastAsia" w:ascii="宋体" w:hAnsi="宋体"/>
                <w:color w:val="000000"/>
                <w:sz w:val="18"/>
                <w:szCs w:val="18"/>
              </w:rPr>
              <w:t>注：[1]为进入污水处理厂的考核量；[2]为参照污水处理厂出水指标计算，作为排入外环境的水污染物总量。</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、总量平衡方案</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根据《常州市建设项目主要污染物排放总量指标审核及管理实施细则》（常政办发[2015]104号）：“建设项目主要污染物排放总量指标按工程减排类项目2倍削减量替代或关闭类项目1.5倍削减量替代。”本项目建成后有组织排放的大气污染物：</w:t>
            </w:r>
            <w:r>
              <w:rPr>
                <w:rFonts w:hint="eastAsia" w:ascii="Times New Roman" w:hAnsi="Times New Roman" w:eastAsia="宋体" w:cs="Times New Roman"/>
                <w:color w:val="auto"/>
                <w:sz w:val="24"/>
                <w:lang w:val="en-US" w:eastAsia="zh-CN"/>
              </w:rPr>
              <w:t>颗粒物</w:t>
            </w:r>
            <w:r>
              <w:rPr>
                <w:rFonts w:hint="default" w:ascii="Times New Roman" w:hAnsi="Times New Roman" w:eastAsia="宋体" w:cs="Times New Roman"/>
                <w:color w:val="auto"/>
                <w:sz w:val="24"/>
              </w:rPr>
              <w:t xml:space="preserve"> </w:t>
            </w:r>
            <w:r>
              <w:rPr>
                <w:rFonts w:hint="default" w:ascii="Times New Roman" w:hAnsi="Times New Roman" w:eastAsia="宋体" w:cs="Times New Roman"/>
                <w:color w:val="auto"/>
                <w:sz w:val="24"/>
                <w:lang w:val="en-US" w:eastAsia="zh-CN"/>
              </w:rPr>
              <w:t>0.0</w:t>
            </w:r>
            <w:r>
              <w:rPr>
                <w:rFonts w:hint="eastAsia"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NO</w:t>
            </w:r>
            <w:r>
              <w:rPr>
                <w:rFonts w:hint="eastAsia" w:ascii="Times New Roman" w:hAnsi="Times New Roman" w:eastAsia="宋体" w:cs="Times New Roman"/>
                <w:color w:val="auto"/>
                <w:sz w:val="24"/>
                <w:vertAlign w:val="subscript"/>
                <w:lang w:val="en-US" w:eastAsia="zh-CN"/>
              </w:rPr>
              <w:t>X</w:t>
            </w:r>
            <w:r>
              <w:rPr>
                <w:rFonts w:hint="eastAsia" w:ascii="Times New Roman" w:hAnsi="Times New Roman" w:eastAsia="宋体" w:cs="Times New Roman"/>
                <w:color w:val="auto"/>
                <w:sz w:val="24"/>
                <w:vertAlign w:val="baseline"/>
                <w:lang w:val="en-US" w:eastAsia="zh-CN"/>
              </w:rPr>
              <w:t xml:space="preserve"> 0.612t/a</w:t>
            </w:r>
            <w:r>
              <w:rPr>
                <w:rFonts w:hint="default" w:ascii="Times New Roman" w:hAnsi="Times New Roman" w:eastAsia="宋体" w:cs="Times New Roman"/>
                <w:color w:val="auto"/>
                <w:sz w:val="24"/>
              </w:rPr>
              <w:t>需申请总量</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需在武进区内实现区域平衡</w:t>
            </w:r>
            <w:r>
              <w:rPr>
                <w:rFonts w:hint="default"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tc>
      </w:tr>
    </w:tbl>
    <w:p>
      <w:pPr>
        <w:rPr>
          <w:rFonts w:ascii="Times New Roman" w:hAnsi="Times New Roman" w:eastAsia="宋体" w:cs="Times New Roman"/>
          <w:b/>
          <w:color w:val="auto"/>
          <w:sz w:val="30"/>
          <w:szCs w:val="30"/>
        </w:rPr>
        <w:sectPr>
          <w:pgSz w:w="16838" w:h="11906" w:orient="landscape"/>
          <w:pgMar w:top="1803" w:right="1440" w:bottom="1803" w:left="1440" w:header="851" w:footer="992" w:gutter="0"/>
          <w:pgNumType w:fmt="decimal"/>
          <w:cols w:space="0" w:num="1"/>
          <w:rtlGutter w:val="0"/>
          <w:docGrid w:type="lines" w:linePitch="319"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建设项目工程分析</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工艺流程简述（图示）</w:t>
            </w:r>
          </w:p>
          <w:p>
            <w:pPr>
              <w:spacing w:line="360" w:lineRule="auto"/>
              <w:ind w:firstLine="480" w:firstLineChars="200"/>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color w:val="auto"/>
                <w:sz w:val="24"/>
              </w:rPr>
              <w:t>本项目</w:t>
            </w:r>
            <w:r>
              <w:rPr>
                <w:rFonts w:hint="eastAsia" w:ascii="Times New Roman" w:hAnsi="Times New Roman" w:eastAsia="宋体" w:cs="Times New Roman"/>
                <w:b w:val="0"/>
                <w:bCs/>
                <w:color w:val="auto"/>
                <w:sz w:val="24"/>
                <w:lang w:val="en-US" w:eastAsia="zh-CN"/>
              </w:rPr>
              <w:t>生产工艺见下图</w:t>
            </w:r>
            <w:r>
              <w:rPr>
                <w:rFonts w:hint="default" w:ascii="Times New Roman" w:hAnsi="Times New Roman" w:eastAsia="宋体" w:cs="Times New Roman"/>
                <w:b w:val="0"/>
                <w:bCs/>
                <w:color w:val="auto"/>
                <w:sz w:val="24"/>
              </w:rPr>
              <w:t>。</w:t>
            </w:r>
          </w:p>
          <w:p>
            <w:pPr>
              <w:spacing w:line="360" w:lineRule="auto"/>
              <w:jc w:val="center"/>
              <w:rPr>
                <w:rFonts w:hint="default" w:ascii="Times New Roman" w:hAnsi="Times New Roman" w:eastAsia="宋体" w:cs="Times New Roman"/>
                <w:b/>
                <w:color w:val="auto"/>
                <w:sz w:val="24"/>
              </w:rPr>
            </w:pPr>
            <w:r>
              <w:drawing>
                <wp:inline distT="0" distB="0" distL="114300" distR="114300">
                  <wp:extent cx="3943350" cy="5845175"/>
                  <wp:effectExtent l="0" t="0" r="0" b="317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6"/>
                          <a:stretch>
                            <a:fillRect/>
                          </a:stretch>
                        </pic:blipFill>
                        <pic:spPr>
                          <a:xfrm>
                            <a:off x="0" y="0"/>
                            <a:ext cx="3943350" cy="5845175"/>
                          </a:xfrm>
                          <a:prstGeom prst="rect">
                            <a:avLst/>
                          </a:prstGeom>
                          <a:noFill/>
                          <a:ln>
                            <a:noFill/>
                          </a:ln>
                        </pic:spPr>
                      </pic:pic>
                    </a:graphicData>
                  </a:graphic>
                </wp:inline>
              </w:drawing>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图5-1  工艺流程图</w:t>
            </w:r>
          </w:p>
          <w:p>
            <w:pPr>
              <w:spacing w:line="360" w:lineRule="auto"/>
              <w:ind w:firstLine="482" w:firstLineChars="200"/>
              <w:rPr>
                <w:rFonts w:hint="default" w:ascii="Times New Roman" w:hAnsi="Times New Roman" w:eastAsia="宋体" w:cs="Times New Roman"/>
                <w:b/>
                <w:color w:val="auto"/>
                <w:sz w:val="24"/>
                <w:lang w:eastAsia="zh-CN"/>
              </w:rPr>
            </w:pPr>
            <w:r>
              <w:rPr>
                <w:rFonts w:hint="default" w:ascii="Times New Roman" w:hAnsi="Times New Roman" w:eastAsia="宋体" w:cs="Times New Roman"/>
                <w:b/>
                <w:color w:val="auto"/>
                <w:sz w:val="24"/>
                <w:lang w:bidi="ar"/>
              </w:rPr>
              <w:t>工艺流程简述</w:t>
            </w:r>
            <w:r>
              <w:rPr>
                <w:rFonts w:hint="default" w:ascii="Times New Roman" w:hAnsi="Times New Roman" w:eastAsia="宋体" w:cs="Times New Roman"/>
                <w:b/>
                <w:color w:val="auto"/>
                <w:sz w:val="24"/>
                <w:lang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（1）原料接收：本项目对原有工艺进行改进，接收原料改为湿料；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（2）初筛：使用皮带机投入初筛机进行粒料初筛；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（3）粉碎：粒径较大的粗料则运输至粉碎机粉碎，由于本项目使用原料改为湿料，粉碎工段无粉尘产生；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（4）自动上料：筛选完成后，粒径符合要求的粒料和粉碎后的粒料将自动上料至烘干机；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（5）烘干：粒料使用烘干机进行烘干，烘干后通过密闭绞龙进入密闭料仓内；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（6）制粒：使用密闭绞龙将料仓内的粒料上料至制粒机内进行压制，本工段产生G1'颗粒物；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（7）冷却：制粒完成后进入冷却震动筛通风冷却，冷却后使用密闭绞龙进入成品仓内，本工段产生G2'颗粒物；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（8）包装：成品仓卸料，使用自动打包称自动称重打包。</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主要污染工序污染源强分析</w:t>
            </w:r>
          </w:p>
          <w:p>
            <w:pPr>
              <w:numPr>
                <w:ilvl w:val="0"/>
                <w:numId w:val="2"/>
              </w:num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废气</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有组织废气</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本项目新增一台</w:t>
            </w:r>
            <w:r>
              <w:rPr>
                <w:rFonts w:hint="eastAsia" w:ascii="Times New Roman" w:hAnsi="Times New Roman" w:cs="Times New Roman"/>
                <w:sz w:val="24"/>
                <w:szCs w:val="24"/>
                <w:lang w:val="en-US" w:eastAsia="zh-CN"/>
              </w:rPr>
              <w:t>热风炉，为烘干机提供热能</w:t>
            </w:r>
            <w:r>
              <w:rPr>
                <w:rFonts w:ascii="Times New Roman" w:hAnsi="Times New Roman" w:cs="Times New Roman"/>
                <w:sz w:val="24"/>
                <w:szCs w:val="24"/>
              </w:rPr>
              <w:t>，使用</w:t>
            </w:r>
            <w:r>
              <w:rPr>
                <w:rFonts w:hint="eastAsia" w:ascii="Times New Roman" w:hAnsi="Times New Roman" w:cs="Times New Roman"/>
                <w:sz w:val="24"/>
                <w:szCs w:val="24"/>
                <w:lang w:val="en-US" w:eastAsia="zh-CN"/>
              </w:rPr>
              <w:t>本项目的产品——</w:t>
            </w:r>
            <w:r>
              <w:rPr>
                <w:rFonts w:ascii="Times New Roman" w:hAnsi="Times New Roman" w:cs="Times New Roman"/>
                <w:sz w:val="24"/>
                <w:szCs w:val="24"/>
              </w:rPr>
              <w:t>生物质</w:t>
            </w:r>
            <w:r>
              <w:rPr>
                <w:rFonts w:hint="eastAsia" w:ascii="Times New Roman" w:hAnsi="Times New Roman" w:cs="Times New Roman"/>
                <w:sz w:val="24"/>
                <w:szCs w:val="24"/>
                <w:lang w:val="en-US" w:eastAsia="zh-CN"/>
              </w:rPr>
              <w:t>压力块作为</w:t>
            </w:r>
            <w:r>
              <w:rPr>
                <w:rFonts w:ascii="Times New Roman" w:hAnsi="Times New Roman" w:cs="Times New Roman"/>
                <w:sz w:val="24"/>
                <w:szCs w:val="24"/>
              </w:rPr>
              <w:t>燃料</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使用量600t/a</w:t>
            </w:r>
            <w:r>
              <w:rPr>
                <w:rFonts w:hint="eastAsia" w:ascii="Times New Roman" w:hAnsi="Times New Roman" w:cs="Times New Roman"/>
                <w:sz w:val="24"/>
                <w:szCs w:val="24"/>
                <w:lang w:eastAsia="zh-CN"/>
              </w:rPr>
              <w:t>）</w:t>
            </w:r>
            <w:r>
              <w:rPr>
                <w:rFonts w:ascii="Times New Roman" w:hAnsi="Times New Roman" w:cs="Times New Roman"/>
                <w:sz w:val="24"/>
                <w:szCs w:val="24"/>
              </w:rPr>
              <w:t>，生物质燃烧产生的废气（G1）主要污染物为烟尘、NOx</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根据本项目产品的燃料分析换算报告，本项目产品中不含硫，因此燃烧废气中不含</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w:t>
            </w:r>
          </w:p>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ascii="Times New Roman" w:hAnsi="Times New Roman" w:cs="Times New Roman"/>
                <w:sz w:val="24"/>
                <w:szCs w:val="24"/>
              </w:rPr>
              <w:t>根据第一次全国污染源普查工业污染源产排污系数手册（2010修订）中4430工业锅炉（热力生产和供应行业）—生物质工业锅炉产排污系数表（见表5-2）测算，项目锅炉烟气主要污染物产生量见表5-3。</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表5-2工业锅炉（热力生产和供应行业）产排污系数表-生物质工业锅炉</w:t>
            </w:r>
          </w:p>
          <w:tbl>
            <w:tblPr>
              <w:tblStyle w:val="16"/>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560"/>
              <w:gridCol w:w="1842"/>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center"/>
                </w:tcPr>
                <w:p>
                  <w:pPr>
                    <w:spacing w:line="360" w:lineRule="auto"/>
                    <w:jc w:val="center"/>
                    <w:rPr>
                      <w:rFonts w:ascii="Times New Roman" w:hAnsi="Times New Roman" w:cs="Times New Roman"/>
                      <w:szCs w:val="21"/>
                    </w:rPr>
                  </w:pPr>
                  <w:r>
                    <w:rPr>
                      <w:rFonts w:ascii="Times New Roman" w:hAnsi="Times New Roman" w:cs="Times New Roman"/>
                      <w:b/>
                      <w:kern w:val="0"/>
                      <w:szCs w:val="21"/>
                    </w:rPr>
                    <w:t>原料名称</w:t>
                  </w:r>
                </w:p>
              </w:tc>
              <w:tc>
                <w:tcPr>
                  <w:tcW w:w="1560" w:type="dxa"/>
                  <w:vAlign w:val="center"/>
                </w:tcPr>
                <w:p>
                  <w:pPr>
                    <w:spacing w:line="360" w:lineRule="auto"/>
                    <w:jc w:val="center"/>
                    <w:rPr>
                      <w:rFonts w:ascii="Times New Roman" w:hAnsi="Times New Roman" w:cs="Times New Roman"/>
                      <w:szCs w:val="21"/>
                    </w:rPr>
                  </w:pPr>
                  <w:r>
                    <w:rPr>
                      <w:rFonts w:ascii="Times New Roman" w:hAnsi="Times New Roman" w:cs="Times New Roman"/>
                      <w:b/>
                      <w:kern w:val="0"/>
                      <w:szCs w:val="21"/>
                    </w:rPr>
                    <w:t>污染物指标</w:t>
                  </w:r>
                </w:p>
              </w:tc>
              <w:tc>
                <w:tcPr>
                  <w:tcW w:w="1842" w:type="dxa"/>
                  <w:vAlign w:val="center"/>
                </w:tcPr>
                <w:p>
                  <w:pPr>
                    <w:spacing w:line="360" w:lineRule="auto"/>
                    <w:jc w:val="center"/>
                    <w:rPr>
                      <w:rFonts w:ascii="Times New Roman" w:hAnsi="Times New Roman" w:cs="Times New Roman"/>
                      <w:szCs w:val="21"/>
                    </w:rPr>
                  </w:pPr>
                  <w:r>
                    <w:rPr>
                      <w:rFonts w:ascii="Times New Roman" w:hAnsi="Times New Roman" w:cs="Times New Roman"/>
                      <w:b/>
                      <w:kern w:val="0"/>
                      <w:szCs w:val="21"/>
                    </w:rPr>
                    <w:t>单位</w:t>
                  </w:r>
                </w:p>
              </w:tc>
              <w:tc>
                <w:tcPr>
                  <w:tcW w:w="2508" w:type="dxa"/>
                  <w:vAlign w:val="center"/>
                </w:tcPr>
                <w:p>
                  <w:pPr>
                    <w:spacing w:line="360" w:lineRule="auto"/>
                    <w:jc w:val="center"/>
                    <w:rPr>
                      <w:rFonts w:ascii="Times New Roman" w:hAnsi="Times New Roman" w:cs="Times New Roman"/>
                      <w:szCs w:val="21"/>
                    </w:rPr>
                  </w:pPr>
                  <w:r>
                    <w:rPr>
                      <w:rFonts w:ascii="Times New Roman" w:hAnsi="Times New Roman" w:cs="Times New Roman"/>
                      <w:b/>
                      <w:kern w:val="0"/>
                      <w:szCs w:val="21"/>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Merge w:val="restart"/>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生物质（木材、木屑、甘蔗渣压块等）</w:t>
                  </w:r>
                </w:p>
              </w:tc>
              <w:tc>
                <w:tcPr>
                  <w:tcW w:w="1560"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烟尘（压块）</w:t>
                  </w:r>
                </w:p>
              </w:tc>
              <w:tc>
                <w:tcPr>
                  <w:tcW w:w="1842"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千克/吨-原料</w:t>
                  </w:r>
                </w:p>
              </w:tc>
              <w:tc>
                <w:tcPr>
                  <w:tcW w:w="2508"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Merge w:val="continue"/>
                  <w:vAlign w:val="center"/>
                </w:tcPr>
                <w:p>
                  <w:pPr>
                    <w:spacing w:line="360" w:lineRule="auto"/>
                    <w:jc w:val="center"/>
                    <w:rPr>
                      <w:rFonts w:ascii="Times New Roman" w:hAnsi="Times New Roman" w:cs="Times New Roman"/>
                      <w:szCs w:val="21"/>
                    </w:rPr>
                  </w:pPr>
                </w:p>
              </w:tc>
              <w:tc>
                <w:tcPr>
                  <w:tcW w:w="1560"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氮氧化物</w:t>
                  </w:r>
                </w:p>
              </w:tc>
              <w:tc>
                <w:tcPr>
                  <w:tcW w:w="1842"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千克/吨-原料</w:t>
                  </w:r>
                </w:p>
              </w:tc>
              <w:tc>
                <w:tcPr>
                  <w:tcW w:w="2508" w:type="dxa"/>
                  <w:vAlign w:val="center"/>
                </w:tcPr>
                <w:p>
                  <w:pPr>
                    <w:spacing w:line="360" w:lineRule="auto"/>
                    <w:jc w:val="center"/>
                    <w:rPr>
                      <w:rFonts w:ascii="Times New Roman" w:hAnsi="Times New Roman" w:cs="Times New Roman"/>
                      <w:szCs w:val="21"/>
                    </w:rPr>
                  </w:pPr>
                  <w:r>
                    <w:rPr>
                      <w:rFonts w:ascii="Times New Roman" w:hAnsi="Times New Roman" w:cs="Times New Roman"/>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Merge w:val="continue"/>
                  <w:vAlign w:val="center"/>
                </w:tcPr>
                <w:p>
                  <w:pPr>
                    <w:spacing w:line="360" w:lineRule="auto"/>
                    <w:jc w:val="center"/>
                    <w:rPr>
                      <w:rFonts w:ascii="Times New Roman" w:hAnsi="Times New Roman" w:cs="Times New Roman"/>
                      <w:szCs w:val="21"/>
                    </w:rPr>
                  </w:pPr>
                </w:p>
              </w:tc>
              <w:tc>
                <w:tcPr>
                  <w:tcW w:w="156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kern w:val="0"/>
                      <w:szCs w:val="21"/>
                      <w:lang w:val="en-US" w:eastAsia="zh-CN"/>
                    </w:rPr>
                    <w:t>工业废气量</w:t>
                  </w:r>
                </w:p>
              </w:tc>
              <w:tc>
                <w:tcPr>
                  <w:tcW w:w="184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kern w:val="0"/>
                      <w:szCs w:val="21"/>
                    </w:rPr>
                    <w:t>标立方米/吨-原料</w:t>
                  </w:r>
                </w:p>
              </w:tc>
              <w:tc>
                <w:tcPr>
                  <w:tcW w:w="2508"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kern w:val="0"/>
                      <w:szCs w:val="21"/>
                    </w:rPr>
                    <w:t>6,240.28</w:t>
                  </w:r>
                </w:p>
              </w:tc>
            </w:tr>
          </w:tbl>
          <w:p>
            <w:pPr>
              <w:spacing w:line="360" w:lineRule="auto"/>
              <w:ind w:firstLine="482" w:firstLineChars="200"/>
              <w:jc w:val="center"/>
              <w:rPr>
                <w:rFonts w:ascii="Times New Roman" w:hAnsi="Times New Roman" w:cs="Times New Roman"/>
                <w:b/>
                <w:sz w:val="24"/>
                <w:szCs w:val="24"/>
              </w:rPr>
            </w:pPr>
            <w:r>
              <w:rPr>
                <w:rFonts w:ascii="Times New Roman" w:hAnsi="Times New Roman" w:cs="Times New Roman"/>
                <w:b/>
                <w:sz w:val="24"/>
                <w:szCs w:val="24"/>
              </w:rPr>
              <w:t>表 5-3 项目锅炉烟气主要污染物产生量</w:t>
            </w:r>
          </w:p>
          <w:tbl>
            <w:tblPr>
              <w:tblStyle w:val="16"/>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30"/>
              <w:gridCol w:w="1390"/>
              <w:gridCol w:w="1395"/>
              <w:gridCol w:w="152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restart"/>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类型</w:t>
                  </w:r>
                </w:p>
              </w:tc>
              <w:tc>
                <w:tcPr>
                  <w:tcW w:w="1130" w:type="dxa"/>
                  <w:vMerge w:val="restart"/>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废气量</w:t>
                  </w:r>
                </w:p>
              </w:tc>
              <w:tc>
                <w:tcPr>
                  <w:tcW w:w="1390" w:type="dxa"/>
                  <w:vMerge w:val="restart"/>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污染物名称</w:t>
                  </w:r>
                </w:p>
              </w:tc>
              <w:tc>
                <w:tcPr>
                  <w:tcW w:w="4681" w:type="dxa"/>
                  <w:gridSpan w:val="3"/>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产生情况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continue"/>
                  <w:vAlign w:val="center"/>
                </w:tcPr>
                <w:p>
                  <w:pPr>
                    <w:spacing w:line="360" w:lineRule="auto"/>
                    <w:jc w:val="center"/>
                    <w:rPr>
                      <w:rFonts w:ascii="Times New Roman" w:hAnsi="Times New Roman" w:cs="Times New Roman"/>
                      <w:b/>
                      <w:szCs w:val="21"/>
                    </w:rPr>
                  </w:pPr>
                </w:p>
              </w:tc>
              <w:tc>
                <w:tcPr>
                  <w:tcW w:w="1130" w:type="dxa"/>
                  <w:vMerge w:val="continue"/>
                  <w:vAlign w:val="center"/>
                </w:tcPr>
                <w:p>
                  <w:pPr>
                    <w:spacing w:line="360" w:lineRule="auto"/>
                    <w:jc w:val="center"/>
                    <w:rPr>
                      <w:rFonts w:ascii="Times New Roman" w:hAnsi="Times New Roman" w:cs="Times New Roman"/>
                      <w:b/>
                      <w:szCs w:val="21"/>
                    </w:rPr>
                  </w:pPr>
                </w:p>
              </w:tc>
              <w:tc>
                <w:tcPr>
                  <w:tcW w:w="1390" w:type="dxa"/>
                  <w:vMerge w:val="continue"/>
                  <w:vAlign w:val="center"/>
                </w:tcPr>
                <w:p>
                  <w:pPr>
                    <w:spacing w:line="360" w:lineRule="auto"/>
                    <w:jc w:val="center"/>
                    <w:rPr>
                      <w:rFonts w:ascii="Times New Roman" w:hAnsi="Times New Roman" w:cs="Times New Roman"/>
                      <w:b/>
                      <w:szCs w:val="21"/>
                    </w:rPr>
                  </w:pPr>
                </w:p>
              </w:tc>
              <w:tc>
                <w:tcPr>
                  <w:tcW w:w="1395" w:type="dxa"/>
                  <w:vAlign w:val="center"/>
                </w:tcPr>
                <w:p>
                  <w:pPr>
                    <w:spacing w:line="360" w:lineRule="auto"/>
                    <w:jc w:val="center"/>
                    <w:rPr>
                      <w:rFonts w:ascii="Times New Roman" w:hAnsi="Times New Roman" w:cs="Times New Roman"/>
                      <w:b/>
                      <w:szCs w:val="21"/>
                    </w:rPr>
                  </w:pPr>
                  <w:r>
                    <w:rPr>
                      <w:rFonts w:ascii="Times New Roman" w:hAnsi="Times New Roman" w:cs="Times New Roman"/>
                      <w:b/>
                      <w:kern w:val="0"/>
                      <w:szCs w:val="21"/>
                    </w:rPr>
                    <w:t>浓度</w:t>
                  </w:r>
                  <w:r>
                    <w:rPr>
                      <w:rFonts w:ascii="Times New Roman" w:hAnsi="Times New Roman" w:cs="Times New Roman"/>
                      <w:b/>
                      <w:spacing w:val="-10"/>
                      <w:kern w:val="0"/>
                      <w:szCs w:val="21"/>
                    </w:rPr>
                    <w:t>mg/m</w:t>
                  </w:r>
                  <w:r>
                    <w:rPr>
                      <w:rFonts w:ascii="Times New Roman" w:hAnsi="Times New Roman" w:cs="Times New Roman"/>
                      <w:b/>
                      <w:spacing w:val="-10"/>
                      <w:kern w:val="0"/>
                      <w:szCs w:val="21"/>
                      <w:vertAlign w:val="superscript"/>
                    </w:rPr>
                    <w:t>3</w:t>
                  </w:r>
                </w:p>
              </w:tc>
              <w:tc>
                <w:tcPr>
                  <w:tcW w:w="1527"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速率kg/h</w:t>
                  </w:r>
                </w:p>
              </w:tc>
              <w:tc>
                <w:tcPr>
                  <w:tcW w:w="1759"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restart"/>
                  <w:vAlign w:val="center"/>
                </w:tcPr>
                <w:p>
                  <w:pPr>
                    <w:jc w:val="center"/>
                    <w:rPr>
                      <w:rFonts w:ascii="Times New Roman" w:hAnsi="Times New Roman" w:cs="Times New Roman"/>
                      <w:szCs w:val="21"/>
                    </w:rPr>
                  </w:pPr>
                  <w:r>
                    <w:rPr>
                      <w:rFonts w:ascii="Times New Roman" w:hAnsi="Times New Roman" w:cs="Times New Roman"/>
                      <w:szCs w:val="21"/>
                    </w:rPr>
                    <w:t>锅炉</w:t>
                  </w:r>
                </w:p>
                <w:p>
                  <w:pPr>
                    <w:jc w:val="center"/>
                    <w:rPr>
                      <w:rFonts w:ascii="Times New Roman" w:hAnsi="Times New Roman" w:cs="Times New Roman"/>
                      <w:szCs w:val="21"/>
                    </w:rPr>
                  </w:pPr>
                  <w:r>
                    <w:rPr>
                      <w:rFonts w:ascii="Times New Roman" w:hAnsi="Times New Roman" w:cs="Times New Roman"/>
                      <w:szCs w:val="21"/>
                    </w:rPr>
                    <w:t>烟气</w:t>
                  </w:r>
                </w:p>
              </w:tc>
              <w:tc>
                <w:tcPr>
                  <w:tcW w:w="1130" w:type="dxa"/>
                  <w:vMerge w:val="restart"/>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color w:val="000000"/>
                      <w:kern w:val="0"/>
                      <w:szCs w:val="21"/>
                      <w:lang w:val="en-US" w:eastAsia="zh-CN"/>
                    </w:rPr>
                    <w:t>520.02</w:t>
                  </w:r>
                  <w:r>
                    <w:rPr>
                      <w:rStyle w:val="35"/>
                    </w:rPr>
                    <w:t>m</w:t>
                  </w:r>
                  <w:r>
                    <w:rPr>
                      <w:rStyle w:val="40"/>
                      <w:vertAlign w:val="superscript"/>
                    </w:rPr>
                    <w:t>3</w:t>
                  </w:r>
                  <w:r>
                    <w:rPr>
                      <w:rStyle w:val="35"/>
                    </w:rPr>
                    <w:t>/h</w:t>
                  </w:r>
                </w:p>
              </w:tc>
              <w:tc>
                <w:tcPr>
                  <w:tcW w:w="1390"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烟尘</w:t>
                  </w:r>
                </w:p>
              </w:tc>
              <w:tc>
                <w:tcPr>
                  <w:tcW w:w="1395"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80.125</w:t>
                  </w:r>
                </w:p>
              </w:tc>
              <w:tc>
                <w:tcPr>
                  <w:tcW w:w="1527"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0.042</w:t>
                  </w:r>
                </w:p>
              </w:tc>
              <w:tc>
                <w:tcPr>
                  <w:tcW w:w="1759"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continue"/>
                  <w:vAlign w:val="center"/>
                </w:tcPr>
                <w:p>
                  <w:pPr>
                    <w:spacing w:line="360" w:lineRule="auto"/>
                    <w:jc w:val="center"/>
                    <w:rPr>
                      <w:rFonts w:ascii="Times New Roman" w:hAnsi="Times New Roman" w:cs="Times New Roman"/>
                      <w:szCs w:val="21"/>
                    </w:rPr>
                  </w:pPr>
                </w:p>
              </w:tc>
              <w:tc>
                <w:tcPr>
                  <w:tcW w:w="1130" w:type="dxa"/>
                  <w:vMerge w:val="continue"/>
                  <w:vAlign w:val="center"/>
                </w:tcPr>
                <w:p>
                  <w:pPr>
                    <w:jc w:val="center"/>
                    <w:rPr>
                      <w:rFonts w:ascii="Times New Roman" w:hAnsi="Times New Roman" w:cs="Times New Roman"/>
                      <w:szCs w:val="21"/>
                    </w:rPr>
                  </w:pPr>
                </w:p>
              </w:tc>
              <w:tc>
                <w:tcPr>
                  <w:tcW w:w="1390"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NOx</w:t>
                  </w:r>
                </w:p>
              </w:tc>
              <w:tc>
                <w:tcPr>
                  <w:tcW w:w="1395"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163.46</w:t>
                  </w:r>
                </w:p>
              </w:tc>
              <w:tc>
                <w:tcPr>
                  <w:tcW w:w="1527"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0.085</w:t>
                  </w:r>
                </w:p>
              </w:tc>
              <w:tc>
                <w:tcPr>
                  <w:tcW w:w="1759" w:type="dxa"/>
                  <w:shd w:val="clear" w:color="auto" w:fill="auto"/>
                  <w:vAlign w:val="center"/>
                </w:tcPr>
                <w:p>
                  <w:pPr>
                    <w:widowControl/>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0.612</w:t>
                  </w:r>
                </w:p>
              </w:tc>
            </w:tr>
          </w:tbl>
          <w:p>
            <w:pPr>
              <w:spacing w:line="360" w:lineRule="auto"/>
              <w:ind w:firstLine="480" w:firstLineChars="200"/>
              <w:rPr>
                <w:rFonts w:hint="eastAsia" w:ascii="Times New Roman" w:hAnsi="Times New Roman" w:eastAsia="宋体" w:cs="Times New Roman"/>
                <w:b w:val="0"/>
                <w:bCs/>
                <w:color w:val="auto"/>
                <w:sz w:val="24"/>
                <w:lang w:val="en-US" w:eastAsia="zh-CN" w:bidi="ar"/>
              </w:rPr>
            </w:pPr>
            <w:r>
              <w:rPr>
                <w:rFonts w:hint="eastAsia" w:ascii="Times New Roman" w:hAnsi="Times New Roman" w:eastAsia="宋体" w:cs="Times New Roman"/>
                <w:b w:val="0"/>
                <w:bCs/>
                <w:color w:val="auto"/>
                <w:sz w:val="24"/>
                <w:lang w:val="en-US" w:eastAsia="zh-CN" w:bidi="ar"/>
              </w:rPr>
              <w:t>本项目生物质燃料燃烧粉尘经水膜除尘处理后经20m高的排气筒排放。</w:t>
            </w:r>
          </w:p>
          <w:p>
            <w:pPr>
              <w:numPr>
                <w:ilvl w:val="0"/>
                <w:numId w:val="0"/>
              </w:numPr>
              <w:spacing w:line="360" w:lineRule="auto"/>
              <w:ind w:leftChars="200"/>
              <w:rPr>
                <w:rFonts w:hint="eastAsia" w:ascii="Times New Roman" w:hAnsi="Times New Roman" w:eastAsia="宋体" w:cs="Times New Roman"/>
                <w:b w:val="0"/>
                <w:bCs/>
                <w:color w:val="auto"/>
                <w:sz w:val="24"/>
                <w:lang w:val="en-US" w:eastAsia="zh-CN" w:bidi="ar"/>
              </w:rPr>
            </w:pPr>
            <w:r>
              <w:rPr>
                <w:rFonts w:hint="eastAsia" w:ascii="Times New Roman" w:hAnsi="Times New Roman" w:eastAsia="宋体" w:cs="Times New Roman"/>
                <w:b w:val="0"/>
                <w:bCs/>
                <w:color w:val="auto"/>
                <w:sz w:val="24"/>
                <w:lang w:val="en-US" w:eastAsia="zh-CN" w:bidi="ar"/>
              </w:rPr>
              <w:t>（2）无组织废气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color w:val="auto"/>
                <w:sz w:val="24"/>
                <w:lang w:val="en-US" w:eastAsia="zh-CN" w:bidi="ar"/>
              </w:rPr>
            </w:pPr>
            <w:r>
              <w:rPr>
                <w:rFonts w:hint="eastAsia" w:ascii="Times New Roman" w:hAnsi="Times New Roman" w:eastAsia="宋体" w:cs="Times New Roman"/>
                <w:b w:val="0"/>
                <w:bCs/>
                <w:color w:val="auto"/>
                <w:sz w:val="24"/>
                <w:lang w:val="en-US" w:eastAsia="zh-CN" w:bidi="ar"/>
              </w:rPr>
              <w:t>本项目产能新增1万吨/a，制粒和冷却工段新增颗粒物产生，类比原有项目产生情况，产生量以原料的万分之一计算，本项目制粒和冷却工段分别新增颗粒物1t/a。本项目制粒和冷却工段新增颗粒物依托已有的布袋除尘装置处理后在车间内无组织排放。</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2、废水</w:t>
            </w:r>
          </w:p>
          <w:p>
            <w:pPr>
              <w:pStyle w:val="17"/>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本项目无生产废水产生及排放；本项目不新增生活污水。</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3、噪声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本项目噪声源主要是</w:t>
            </w:r>
            <w:r>
              <w:rPr>
                <w:rFonts w:hint="eastAsia" w:ascii="Times New Roman" w:hAnsi="Times New Roman" w:eastAsia="宋体" w:cs="Times New Roman"/>
                <w:color w:val="auto"/>
                <w:sz w:val="24"/>
                <w:lang w:val="en-US" w:eastAsia="zh-CN" w:bidi="ar"/>
              </w:rPr>
              <w:t>烘干机、热风炉、风机</w:t>
            </w:r>
            <w:r>
              <w:rPr>
                <w:rFonts w:hint="default" w:ascii="Times New Roman" w:hAnsi="Times New Roman" w:eastAsia="宋体" w:cs="Times New Roman"/>
                <w:color w:val="auto"/>
                <w:sz w:val="24"/>
                <w:lang w:bidi="ar"/>
              </w:rPr>
              <w:t>等设备，本项目主要污染源见表5-</w:t>
            </w:r>
            <w:r>
              <w:rPr>
                <w:rFonts w:hint="eastAsia" w:ascii="Times New Roman" w:hAnsi="Times New Roman" w:eastAsia="宋体" w:cs="Times New Roman"/>
                <w:color w:val="auto"/>
                <w:sz w:val="24"/>
                <w:lang w:val="en-US" w:eastAsia="zh-CN" w:bidi="ar"/>
              </w:rPr>
              <w:t>2</w:t>
            </w:r>
            <w:r>
              <w:rPr>
                <w:rFonts w:hint="default" w:ascii="Times New Roman" w:hAnsi="Times New Roman" w:eastAsia="宋体" w:cs="Times New Roman"/>
                <w:color w:val="auto"/>
                <w:sz w:val="24"/>
                <w:lang w:bidi="ar"/>
              </w:rPr>
              <w:t>。</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2</w:t>
            </w:r>
            <w:r>
              <w:rPr>
                <w:rFonts w:hint="default" w:ascii="Times New Roman" w:hAnsi="Times New Roman" w:cs="Times New Roman"/>
                <w:color w:val="auto"/>
              </w:rPr>
              <w:t>本项目主要污染源一览表</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359"/>
              <w:gridCol w:w="1548"/>
              <w:gridCol w:w="1932"/>
              <w:gridCol w:w="88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235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54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973"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烘干机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热风炉</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风机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Style w:val="18"/>
                      <w:rFonts w:hint="default" w:ascii="Times New Roman" w:hAnsi="Times New Roman" w:eastAsia="宋体" w:cs="Times New Roman"/>
                      <w:b w:val="0"/>
                      <w:color w:val="auto"/>
                      <w:sz w:val="21"/>
                      <w:szCs w:val="21"/>
                      <w:lang w:val="en-US" w:eastAsia="zh-CN" w:bidi="ar"/>
                    </w:rPr>
                  </w:pPr>
                  <w:r>
                    <w:rPr>
                      <w:rStyle w:val="18"/>
                      <w:rFonts w:hint="eastAsia"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cs="Times New Roman"/>
                      <w:color w:val="auto"/>
                      <w:sz w:val="21"/>
                      <w:szCs w:val="21"/>
                      <w:lang w:val="en-US" w:eastAsia="zh-CN"/>
                    </w:rPr>
                  </w:pPr>
                  <w:r>
                    <w:rPr>
                      <w:rFonts w:hint="eastAsia" w:cs="Times New Roman"/>
                      <w:color w:val="auto"/>
                      <w:sz w:val="21"/>
                      <w:szCs w:val="21"/>
                      <w:lang w:val="en-US" w:eastAsia="zh-CN"/>
                    </w:rPr>
                    <w:t>85</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bidi="ar"/>
              </w:rPr>
              <w:t>4、固体废物</w:t>
            </w:r>
          </w:p>
          <w:p>
            <w:pPr>
              <w:spacing w:line="360" w:lineRule="auto"/>
              <w:ind w:firstLine="480" w:firstLineChars="200"/>
              <w:rPr>
                <w:rFonts w:hint="default" w:ascii="Times New Roman" w:hAnsi="Times New Roman" w:eastAsia="宋体" w:cs="Times New Roman"/>
                <w:color w:val="auto"/>
                <w:sz w:val="24"/>
                <w:lang w:val="en-US" w:eastAsia="zh-CN" w:bidi="ar"/>
              </w:rPr>
            </w:pPr>
            <w:r>
              <w:rPr>
                <w:rFonts w:hint="default"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不新增员工，不新增生活垃圾；本项目</w:t>
            </w:r>
            <w:r>
              <w:rPr>
                <w:rFonts w:hint="default" w:ascii="Times New Roman" w:hAnsi="Times New Roman" w:eastAsia="宋体" w:cs="Times New Roman"/>
                <w:color w:val="auto"/>
                <w:sz w:val="24"/>
                <w:lang w:bidi="ar"/>
              </w:rPr>
              <w:t>固体废物主要有</w:t>
            </w:r>
            <w:r>
              <w:rPr>
                <w:rFonts w:hint="eastAsia" w:ascii="Times New Roman" w:hAnsi="Times New Roman" w:eastAsia="宋体" w:cs="Times New Roman"/>
                <w:color w:val="auto"/>
                <w:sz w:val="24"/>
                <w:lang w:val="en-US" w:eastAsia="zh-CN" w:bidi="ar"/>
              </w:rPr>
              <w:t>水膜除尘收集的粉尘S1，沙克龙收集的粉尘回用于生产</w:t>
            </w:r>
            <w:r>
              <w:rPr>
                <w:rFonts w:hint="default" w:ascii="Times New Roman" w:hAnsi="Times New Roman" w:eastAsia="宋体" w:cs="Times New Roman"/>
                <w:color w:val="auto"/>
                <w:sz w:val="24"/>
                <w:lang w:val="en-US" w:eastAsia="zh-CN" w:bidi="ar"/>
              </w:rPr>
              <w:t>。</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①</w:t>
            </w:r>
            <w:r>
              <w:rPr>
                <w:rFonts w:hint="eastAsia" w:ascii="Times New Roman" w:hAnsi="Times New Roman" w:eastAsia="宋体" w:cs="Times New Roman"/>
                <w:color w:val="auto"/>
                <w:sz w:val="24"/>
                <w:lang w:val="en-US" w:eastAsia="zh-CN" w:bidi="ar"/>
              </w:rPr>
              <w:t>水膜除尘收集的粉尘S1</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val="en-US" w:eastAsia="zh-CN" w:bidi="ar"/>
              </w:rPr>
              <w:t>本项目</w:t>
            </w:r>
            <w:r>
              <w:rPr>
                <w:rFonts w:hint="eastAsia" w:ascii="Times New Roman" w:hAnsi="Times New Roman" w:eastAsia="宋体" w:cs="Times New Roman"/>
                <w:color w:val="auto"/>
                <w:sz w:val="24"/>
                <w:lang w:val="en-US" w:eastAsia="zh-CN" w:bidi="ar"/>
              </w:rPr>
              <w:t>水膜除尘收集的粉尘S1产生量约为0.285</w:t>
            </w:r>
            <w:r>
              <w:rPr>
                <w:rFonts w:hint="default" w:ascii="Times New Roman" w:hAnsi="Times New Roman" w:eastAsia="宋体" w:cs="Times New Roman"/>
                <w:color w:val="auto"/>
                <w:sz w:val="24"/>
                <w:lang w:val="en-US" w:eastAsia="zh-CN" w:bidi="ar"/>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本项目固体废弃物产生情况汇总表如下：</w:t>
            </w: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3</w:t>
            </w:r>
            <w:r>
              <w:rPr>
                <w:rFonts w:hint="default" w:ascii="Times New Roman" w:hAnsi="Times New Roman" w:cs="Times New Roman"/>
                <w:color w:val="auto"/>
              </w:rPr>
              <w:t>营运期固体废物分析结果汇总表</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55"/>
              <w:gridCol w:w="915"/>
              <w:gridCol w:w="660"/>
              <w:gridCol w:w="717"/>
              <w:gridCol w:w="792"/>
              <w:gridCol w:w="876"/>
              <w:gridCol w:w="72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95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名称</w:t>
                  </w:r>
                </w:p>
              </w:tc>
              <w:tc>
                <w:tcPr>
                  <w:tcW w:w="915"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来源</w:t>
                  </w:r>
                </w:p>
              </w:tc>
              <w:tc>
                <w:tcPr>
                  <w:tcW w:w="660"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形态</w:t>
                  </w:r>
                </w:p>
              </w:tc>
              <w:tc>
                <w:tcPr>
                  <w:tcW w:w="717"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主要成分</w:t>
                  </w:r>
                </w:p>
              </w:tc>
              <w:tc>
                <w:tcPr>
                  <w:tcW w:w="792" w:type="dxa"/>
                  <w:vMerge w:val="restart"/>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产生量（t/a）</w:t>
                  </w:r>
                </w:p>
              </w:tc>
              <w:tc>
                <w:tcPr>
                  <w:tcW w:w="3820" w:type="dxa"/>
                  <w:gridSpan w:val="3"/>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判别种类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95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9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6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71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792"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1"/>
                      <w:szCs w:val="21"/>
                    </w:rPr>
                  </w:pPr>
                </w:p>
              </w:tc>
              <w:tc>
                <w:tcPr>
                  <w:tcW w:w="8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固体废物</w:t>
                  </w:r>
                </w:p>
              </w:tc>
              <w:tc>
                <w:tcPr>
                  <w:tcW w:w="72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副产品</w:t>
                  </w:r>
                </w:p>
              </w:tc>
              <w:tc>
                <w:tcPr>
                  <w:tcW w:w="222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95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bidi="ar"/>
                    </w:rPr>
                    <w:t>水膜除尘收集的粉尘</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废气处理</w:t>
                  </w:r>
                </w:p>
              </w:tc>
              <w:tc>
                <w:tcPr>
                  <w:tcW w:w="66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固</w:t>
                  </w:r>
                </w:p>
              </w:tc>
              <w:tc>
                <w:tcPr>
                  <w:tcW w:w="71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粉尘</w:t>
                  </w:r>
                </w:p>
              </w:tc>
              <w:tc>
                <w:tcPr>
                  <w:tcW w:w="79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0.285</w:t>
                  </w:r>
                </w:p>
              </w:tc>
              <w:tc>
                <w:tcPr>
                  <w:tcW w:w="87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2224" w:type="dxa"/>
                  <w:tcBorders>
                    <w:top w:val="nil"/>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《固体废物鉴别标准通则 》（GB34330 2017）和《国家危险废物名录》（2016）</w:t>
                  </w:r>
                </w:p>
              </w:tc>
            </w:tr>
          </w:tbl>
          <w:p>
            <w:pPr>
              <w:pStyle w:val="26"/>
              <w:widowControl/>
              <w:jc w:val="left"/>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*注：种类判别，在相应类别下打钩。</w:t>
            </w:r>
          </w:p>
          <w:p>
            <w:pPr>
              <w:pStyle w:val="26"/>
              <w:widowControl/>
              <w:jc w:val="left"/>
              <w:rPr>
                <w:rFonts w:hint="default" w:ascii="Times New Roman" w:hAnsi="Times New Roman" w:cs="Times New Roman"/>
                <w:color w:val="auto"/>
                <w:sz w:val="15"/>
                <w:szCs w:val="15"/>
              </w:rPr>
            </w:pPr>
          </w:p>
          <w:p>
            <w:pPr>
              <w:pStyle w:val="26"/>
              <w:widowControl/>
              <w:jc w:val="left"/>
              <w:rPr>
                <w:rFonts w:hint="default" w:ascii="Times New Roman" w:hAnsi="Times New Roman" w:cs="Times New Roman"/>
                <w:color w:val="auto"/>
                <w:sz w:val="15"/>
                <w:szCs w:val="15"/>
              </w:rPr>
            </w:pPr>
          </w:p>
          <w:p>
            <w:pPr>
              <w:pStyle w:val="26"/>
              <w:widowControl/>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4</w:t>
            </w:r>
            <w:r>
              <w:rPr>
                <w:rFonts w:hint="default" w:ascii="Times New Roman" w:hAnsi="Times New Roman" w:cs="Times New Roman"/>
                <w:color w:val="auto"/>
              </w:rPr>
              <w:t>本项目固废产生情况汇总表</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50"/>
              <w:gridCol w:w="857"/>
              <w:gridCol w:w="730"/>
              <w:gridCol w:w="528"/>
              <w:gridCol w:w="1182"/>
              <w:gridCol w:w="1035"/>
              <w:gridCol w:w="480"/>
              <w:gridCol w:w="588"/>
              <w:gridCol w:w="948"/>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序号</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名称</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来源</w:t>
                  </w:r>
                </w:p>
              </w:tc>
              <w:tc>
                <w:tcPr>
                  <w:tcW w:w="73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属性</w:t>
                  </w:r>
                </w:p>
              </w:tc>
              <w:tc>
                <w:tcPr>
                  <w:tcW w:w="52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形态</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主要成分</w:t>
                  </w:r>
                </w:p>
              </w:tc>
              <w:tc>
                <w:tcPr>
                  <w:tcW w:w="1035"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鉴别方法</w:t>
                  </w:r>
                </w:p>
              </w:tc>
              <w:tc>
                <w:tcPr>
                  <w:tcW w:w="48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危险特性</w:t>
                  </w:r>
                </w:p>
              </w:tc>
              <w:tc>
                <w:tcPr>
                  <w:tcW w:w="58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废物类别</w:t>
                  </w:r>
                </w:p>
              </w:tc>
              <w:tc>
                <w:tcPr>
                  <w:tcW w:w="948"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废物代码</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eastAsia" w:ascii="Times New Roman" w:hAnsi="Times New Roman" w:eastAsia="宋体" w:cs="Times New Roman"/>
                      <w:i w:val="0"/>
                      <w:color w:val="000000"/>
                      <w:kern w:val="0"/>
                      <w:sz w:val="21"/>
                      <w:szCs w:val="21"/>
                      <w:u w:val="none"/>
                      <w:lang w:val="en-US" w:eastAsia="zh-CN" w:bidi="ar"/>
                    </w:rPr>
                    <w:t>1</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ascii="Times New Roman" w:hAnsi="Times New Roman" w:eastAsia="宋体" w:cs="Times New Roman"/>
                      <w:color w:val="auto"/>
                      <w:sz w:val="21"/>
                      <w:szCs w:val="21"/>
                      <w:lang w:val="en-US" w:eastAsia="zh-CN" w:bidi="ar"/>
                    </w:rPr>
                    <w:t>水膜除尘收集的粉尘</w:t>
                  </w:r>
                </w:p>
              </w:tc>
              <w:tc>
                <w:tcPr>
                  <w:tcW w:w="85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sz w:val="21"/>
                      <w:szCs w:val="21"/>
                      <w:lang w:val="en-US" w:eastAsia="zh-CN"/>
                    </w:rPr>
                    <w:t>废气处理</w:t>
                  </w:r>
                </w:p>
              </w:tc>
              <w:tc>
                <w:tcPr>
                  <w:tcW w:w="730" w:type="dxa"/>
                  <w:tcBorders>
                    <w:top w:val="nil"/>
                    <w:left w:val="nil"/>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一般固废</w:t>
                  </w:r>
                </w:p>
              </w:tc>
              <w:tc>
                <w:tcPr>
                  <w:tcW w:w="5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固</w:t>
                  </w:r>
                </w:p>
              </w:tc>
              <w:tc>
                <w:tcPr>
                  <w:tcW w:w="1182"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eastAsia" w:cs="Times New Roman"/>
                      <w:color w:val="auto"/>
                      <w:sz w:val="21"/>
                      <w:szCs w:val="21"/>
                      <w:lang w:val="en-US" w:eastAsia="zh-CN"/>
                    </w:rPr>
                    <w:t>粉尘</w:t>
                  </w:r>
                </w:p>
              </w:tc>
              <w:tc>
                <w:tcPr>
                  <w:tcW w:w="1035" w:type="dxa"/>
                  <w:tcBorders>
                    <w:top w:val="nil"/>
                    <w:left w:val="nil"/>
                    <w:right w:val="single" w:color="auto" w:sz="4" w:space="0"/>
                  </w:tcBorders>
                  <w:shd w:val="clear" w:color="auto" w:fill="auto"/>
                  <w:vAlign w:val="center"/>
                </w:tcPr>
                <w:p>
                  <w:pPr>
                    <w:jc w:val="center"/>
                    <w:rPr>
                      <w:rFonts w:hint="default" w:ascii="Times New Roman" w:hAnsi="Times New Roman" w:cs="Times New Roman"/>
                      <w:color w:val="auto"/>
                      <w:sz w:val="20"/>
                      <w:szCs w:val="20"/>
                    </w:rPr>
                  </w:pPr>
                </w:p>
              </w:tc>
              <w:tc>
                <w:tcPr>
                  <w:tcW w:w="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rPr>
                  </w:pPr>
                  <w:r>
                    <w:rPr>
                      <w:rFonts w:hint="default" w:ascii="Times New Roman" w:hAnsi="Times New Roman" w:eastAsia="宋体" w:cs="Times New Roman"/>
                      <w:i w:val="0"/>
                      <w:color w:val="000000"/>
                      <w:kern w:val="0"/>
                      <w:sz w:val="21"/>
                      <w:szCs w:val="21"/>
                      <w:u w:val="none"/>
                      <w:lang w:val="en-US" w:eastAsia="zh-CN" w:bidi="ar"/>
                    </w:rPr>
                    <w:t>--</w:t>
                  </w:r>
                </w:p>
              </w:tc>
              <w:tc>
                <w:tcPr>
                  <w:tcW w:w="87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lang w:val="en-US"/>
                    </w:rPr>
                  </w:pPr>
                  <w:r>
                    <w:rPr>
                      <w:rFonts w:hint="eastAsia" w:cs="Times New Roman"/>
                      <w:color w:val="auto"/>
                      <w:lang w:val="en-US" w:eastAsia="zh-CN"/>
                    </w:rPr>
                    <w:t>0.285</w:t>
                  </w:r>
                </w:p>
              </w:tc>
            </w:tr>
          </w:tbl>
          <w:p>
            <w:pPr>
              <w:spacing w:line="360" w:lineRule="auto"/>
              <w:ind w:firstLine="480" w:firstLineChars="200"/>
              <w:rPr>
                <w:rFonts w:hint="default"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0" w:hRule="atLeast"/>
        </w:trPr>
        <w:tc>
          <w:tcPr>
            <w:tcW w:w="8522" w:type="dxa"/>
            <w:tcBorders>
              <w:top w:val="single" w:color="auto" w:sz="6" w:space="0"/>
              <w:left w:val="single" w:color="auto" w:sz="4" w:space="0"/>
              <w:bottom w:val="single" w:color="auto" w:sz="4" w:space="0"/>
              <w:right w:val="single" w:color="auto" w:sz="12" w:space="0"/>
            </w:tcBorders>
            <w:shd w:val="clear" w:color="auto" w:fill="auto"/>
          </w:tcPr>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污染物防治措施：</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营运期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1、废水污染防治措施</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本项目无生产废水产生及排放；本项目不新增生活污水。</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2、废气</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本项目将原料改为湿料后，粉碎工段无废气产生；本项目生物质燃料燃烧粉尘经水膜除尘处理后经20m高的1#排气筒排放；制粒和冷却工段新增颗粒物依托已有的布袋除尘装置处理后在车间内无组织排放。</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本项目废气污染防治措施示意图见下图：</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24"/>
                <w:lang w:val="en-US" w:eastAsia="zh-CN"/>
              </w:rPr>
              <w:object>
                <v:shape id="_x0000_i1025" o:spt="75" type="#_x0000_t75" style="height:176.15pt;width:415.1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r>
              <w:rPr>
                <w:rFonts w:hint="default" w:ascii="Times New Roman" w:hAnsi="Times New Roman" w:eastAsia="宋体" w:cs="Times New Roman"/>
                <w:b/>
                <w:bCs/>
                <w:color w:val="auto"/>
                <w:sz w:val="24"/>
                <w:lang w:val="en-US" w:eastAsia="zh-CN"/>
              </w:rPr>
              <w:t>图5-6 废气污染防治措施示意图</w:t>
            </w: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tbl>
      <w:tblPr>
        <w:tblStyle w:val="1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6" w:hRule="atLeast"/>
        </w:trPr>
        <w:tc>
          <w:tcPr>
            <w:tcW w:w="14174" w:type="dxa"/>
          </w:tcPr>
          <w:p>
            <w:pPr>
              <w:autoSpaceDE w:val="0"/>
              <w:autoSpaceDN w:val="0"/>
              <w:adjustRightInd w:val="0"/>
              <w:jc w:val="center"/>
              <w:rPr>
                <w:rFonts w:ascii="Times New Roman" w:hAnsi="Times New Roman" w:cs="Times New Roman"/>
                <w:b/>
                <w:sz w:val="30"/>
                <w:szCs w:val="30"/>
              </w:rPr>
            </w:pPr>
            <w:r>
              <w:rPr>
                <w:rFonts w:ascii="Times New Roman" w:hAnsi="Times New Roman" w:cs="Times New Roman"/>
                <w:b/>
                <w:sz w:val="24"/>
                <w:szCs w:val="24"/>
              </w:rPr>
              <w:t>表5-10</w:t>
            </w:r>
            <w:r>
              <w:rPr>
                <w:rFonts w:hint="eastAsia" w:ascii="Times New Roman" w:hAnsi="Times New Roman" w:cs="Times New Roman"/>
                <w:b/>
                <w:sz w:val="24"/>
                <w:szCs w:val="24"/>
                <w:lang w:val="en-US" w:eastAsia="zh-CN"/>
              </w:rPr>
              <w:t xml:space="preserve"> </w:t>
            </w:r>
            <w:r>
              <w:rPr>
                <w:rFonts w:ascii="Times New Roman" w:hAnsi="Times New Roman" w:cs="Times New Roman"/>
                <w:b/>
                <w:sz w:val="24"/>
                <w:szCs w:val="24"/>
              </w:rPr>
              <w:t>本项目有组织废气产生及排放情况</w:t>
            </w:r>
          </w:p>
          <w:tbl>
            <w:tblPr>
              <w:tblStyle w:val="15"/>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30"/>
              <w:gridCol w:w="712"/>
              <w:gridCol w:w="835"/>
              <w:gridCol w:w="869"/>
              <w:gridCol w:w="864"/>
              <w:gridCol w:w="808"/>
              <w:gridCol w:w="837"/>
              <w:gridCol w:w="1113"/>
              <w:gridCol w:w="558"/>
              <w:gridCol w:w="836"/>
              <w:gridCol w:w="836"/>
              <w:gridCol w:w="839"/>
              <w:gridCol w:w="836"/>
              <w:gridCol w:w="696"/>
              <w:gridCol w:w="557"/>
              <w:gridCol w:w="558"/>
              <w:gridCol w:w="55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10"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废气编号</w:t>
                  </w:r>
                </w:p>
              </w:tc>
              <w:tc>
                <w:tcPr>
                  <w:tcW w:w="430"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排气筒</w:t>
                  </w:r>
                </w:p>
              </w:tc>
              <w:tc>
                <w:tcPr>
                  <w:tcW w:w="712"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工序</w:t>
                  </w:r>
                </w:p>
              </w:tc>
              <w:tc>
                <w:tcPr>
                  <w:tcW w:w="835"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排气量</w:t>
                  </w:r>
                </w:p>
                <w:p>
                  <w:pPr>
                    <w:snapToGrid w:val="0"/>
                    <w:jc w:val="center"/>
                    <w:rPr>
                      <w:rFonts w:ascii="Times New Roman" w:hAnsi="Times New Roman" w:cs="Times New Roman"/>
                      <w:b/>
                      <w:kern w:val="0"/>
                      <w:szCs w:val="21"/>
                    </w:rPr>
                  </w:pPr>
                  <w:r>
                    <w:rPr>
                      <w:rFonts w:ascii="Times New Roman" w:hAnsi="Times New Roman" w:cs="Times New Roman"/>
                      <w:b/>
                      <w:kern w:val="0"/>
                      <w:szCs w:val="21"/>
                    </w:rPr>
                    <w:t>m</w:t>
                  </w:r>
                  <w:r>
                    <w:rPr>
                      <w:rFonts w:ascii="Times New Roman" w:hAnsi="Times New Roman" w:cs="Times New Roman"/>
                      <w:b/>
                      <w:kern w:val="0"/>
                      <w:szCs w:val="21"/>
                      <w:vertAlign w:val="superscript"/>
                    </w:rPr>
                    <w:t>3</w:t>
                  </w:r>
                  <w:r>
                    <w:rPr>
                      <w:rFonts w:ascii="Times New Roman" w:hAnsi="Times New Roman" w:cs="Times New Roman"/>
                      <w:b/>
                      <w:kern w:val="0"/>
                      <w:szCs w:val="21"/>
                    </w:rPr>
                    <w:t>/h</w:t>
                  </w:r>
                </w:p>
              </w:tc>
              <w:tc>
                <w:tcPr>
                  <w:tcW w:w="869"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污染物</w:t>
                  </w:r>
                </w:p>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名称</w:t>
                  </w:r>
                </w:p>
              </w:tc>
              <w:tc>
                <w:tcPr>
                  <w:tcW w:w="2509" w:type="dxa"/>
                  <w:gridSpan w:val="3"/>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产生状况</w:t>
                  </w:r>
                </w:p>
              </w:tc>
              <w:tc>
                <w:tcPr>
                  <w:tcW w:w="1113"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治理措施</w:t>
                  </w:r>
                </w:p>
              </w:tc>
              <w:tc>
                <w:tcPr>
                  <w:tcW w:w="558"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去除</w:t>
                  </w:r>
                </w:p>
                <w:p>
                  <w:pPr>
                    <w:snapToGrid w:val="0"/>
                    <w:jc w:val="center"/>
                    <w:rPr>
                      <w:rFonts w:ascii="Times New Roman" w:hAnsi="Times New Roman" w:cs="Times New Roman"/>
                      <w:b/>
                      <w:kern w:val="0"/>
                      <w:szCs w:val="21"/>
                    </w:rPr>
                  </w:pPr>
                  <w:r>
                    <w:rPr>
                      <w:rFonts w:ascii="Times New Roman" w:hAnsi="Times New Roman" w:cs="Times New Roman"/>
                      <w:b/>
                      <w:kern w:val="0"/>
                      <w:szCs w:val="21"/>
                    </w:rPr>
                    <w:t>率</w:t>
                  </w:r>
                </w:p>
                <w:p>
                  <w:pPr>
                    <w:snapToGrid w:val="0"/>
                    <w:jc w:val="center"/>
                    <w:rPr>
                      <w:rFonts w:ascii="Times New Roman" w:hAnsi="Times New Roman" w:cs="Times New Roman"/>
                      <w:b/>
                      <w:kern w:val="0"/>
                      <w:szCs w:val="21"/>
                    </w:rPr>
                  </w:pPr>
                  <w:r>
                    <w:rPr>
                      <w:rFonts w:ascii="Times New Roman" w:hAnsi="Times New Roman" w:cs="Times New Roman"/>
                      <w:b/>
                      <w:kern w:val="0"/>
                      <w:szCs w:val="21"/>
                    </w:rPr>
                    <w:t>%</w:t>
                  </w:r>
                </w:p>
              </w:tc>
              <w:tc>
                <w:tcPr>
                  <w:tcW w:w="2511" w:type="dxa"/>
                  <w:gridSpan w:val="3"/>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排放状况</w:t>
                  </w:r>
                </w:p>
              </w:tc>
              <w:tc>
                <w:tcPr>
                  <w:tcW w:w="1532" w:type="dxa"/>
                  <w:gridSpan w:val="2"/>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执行标准</w:t>
                  </w:r>
                </w:p>
              </w:tc>
              <w:tc>
                <w:tcPr>
                  <w:tcW w:w="1672" w:type="dxa"/>
                  <w:gridSpan w:val="3"/>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排放源参数</w:t>
                  </w:r>
                </w:p>
              </w:tc>
              <w:tc>
                <w:tcPr>
                  <w:tcW w:w="697" w:type="dxa"/>
                  <w:vMerge w:val="restart"/>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排放</w:t>
                  </w:r>
                </w:p>
                <w:p>
                  <w:pPr>
                    <w:widowControl/>
                    <w:snapToGrid w:val="0"/>
                    <w:jc w:val="center"/>
                    <w:rPr>
                      <w:rFonts w:ascii="Times New Roman" w:hAnsi="Times New Roman" w:cs="Times New Roman"/>
                      <w:kern w:val="0"/>
                      <w:szCs w:val="21"/>
                    </w:rPr>
                  </w:pPr>
                  <w:r>
                    <w:rPr>
                      <w:rFonts w:ascii="Times New Roman" w:hAnsi="Times New Roman" w:cs="Times New Roman"/>
                      <w:b/>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10" w:type="dxa"/>
                  <w:vMerge w:val="continue"/>
                  <w:vAlign w:val="center"/>
                </w:tcPr>
                <w:p>
                  <w:pPr>
                    <w:widowControl/>
                    <w:snapToGrid w:val="0"/>
                    <w:jc w:val="center"/>
                    <w:rPr>
                      <w:rFonts w:ascii="Times New Roman" w:hAnsi="Times New Roman" w:cs="Times New Roman"/>
                      <w:b/>
                      <w:kern w:val="0"/>
                      <w:szCs w:val="21"/>
                    </w:rPr>
                  </w:pPr>
                </w:p>
              </w:tc>
              <w:tc>
                <w:tcPr>
                  <w:tcW w:w="430" w:type="dxa"/>
                  <w:vMerge w:val="continue"/>
                  <w:vAlign w:val="center"/>
                </w:tcPr>
                <w:p>
                  <w:pPr>
                    <w:widowControl/>
                    <w:snapToGrid w:val="0"/>
                    <w:jc w:val="center"/>
                    <w:rPr>
                      <w:rFonts w:ascii="Times New Roman" w:hAnsi="Times New Roman" w:cs="Times New Roman"/>
                      <w:b/>
                      <w:kern w:val="0"/>
                      <w:szCs w:val="21"/>
                    </w:rPr>
                  </w:pPr>
                </w:p>
              </w:tc>
              <w:tc>
                <w:tcPr>
                  <w:tcW w:w="712" w:type="dxa"/>
                  <w:vMerge w:val="continue"/>
                  <w:vAlign w:val="center"/>
                </w:tcPr>
                <w:p>
                  <w:pPr>
                    <w:widowControl/>
                    <w:snapToGrid w:val="0"/>
                    <w:jc w:val="center"/>
                    <w:rPr>
                      <w:rFonts w:ascii="Times New Roman" w:hAnsi="Times New Roman" w:cs="Times New Roman"/>
                      <w:b/>
                      <w:kern w:val="0"/>
                      <w:szCs w:val="21"/>
                    </w:rPr>
                  </w:pPr>
                </w:p>
              </w:tc>
              <w:tc>
                <w:tcPr>
                  <w:tcW w:w="835" w:type="dxa"/>
                  <w:vMerge w:val="continue"/>
                  <w:vAlign w:val="center"/>
                </w:tcPr>
                <w:p>
                  <w:pPr>
                    <w:widowControl/>
                    <w:snapToGrid w:val="0"/>
                    <w:jc w:val="center"/>
                    <w:rPr>
                      <w:rFonts w:ascii="Times New Roman" w:hAnsi="Times New Roman" w:cs="Times New Roman"/>
                      <w:b/>
                      <w:kern w:val="0"/>
                      <w:szCs w:val="21"/>
                    </w:rPr>
                  </w:pPr>
                </w:p>
              </w:tc>
              <w:tc>
                <w:tcPr>
                  <w:tcW w:w="869" w:type="dxa"/>
                  <w:vMerge w:val="continue"/>
                  <w:vAlign w:val="center"/>
                </w:tcPr>
                <w:p>
                  <w:pPr>
                    <w:widowControl/>
                    <w:snapToGrid w:val="0"/>
                    <w:jc w:val="center"/>
                    <w:rPr>
                      <w:rFonts w:ascii="Times New Roman" w:hAnsi="Times New Roman" w:cs="Times New Roman"/>
                      <w:b/>
                      <w:kern w:val="0"/>
                      <w:szCs w:val="21"/>
                    </w:rPr>
                  </w:pPr>
                </w:p>
              </w:tc>
              <w:tc>
                <w:tcPr>
                  <w:tcW w:w="864"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浓度</w:t>
                  </w:r>
                  <w:r>
                    <w:rPr>
                      <w:rFonts w:ascii="Times New Roman" w:hAnsi="Times New Roman" w:cs="Times New Roman"/>
                      <w:b/>
                      <w:spacing w:val="-10"/>
                      <w:kern w:val="0"/>
                      <w:szCs w:val="21"/>
                    </w:rPr>
                    <w:t>mg/m</w:t>
                  </w:r>
                  <w:r>
                    <w:rPr>
                      <w:rFonts w:ascii="Times New Roman" w:hAnsi="Times New Roman" w:cs="Times New Roman"/>
                      <w:b/>
                      <w:spacing w:val="-10"/>
                      <w:kern w:val="0"/>
                      <w:szCs w:val="21"/>
                      <w:vertAlign w:val="superscript"/>
                    </w:rPr>
                    <w:t>3</w:t>
                  </w:r>
                </w:p>
              </w:tc>
              <w:tc>
                <w:tcPr>
                  <w:tcW w:w="808"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速率</w:t>
                  </w:r>
                </w:p>
                <w:p>
                  <w:pPr>
                    <w:snapToGrid w:val="0"/>
                    <w:jc w:val="center"/>
                    <w:rPr>
                      <w:rFonts w:ascii="Times New Roman" w:hAnsi="Times New Roman" w:cs="Times New Roman"/>
                      <w:b/>
                      <w:kern w:val="0"/>
                      <w:szCs w:val="21"/>
                    </w:rPr>
                  </w:pPr>
                  <w:r>
                    <w:rPr>
                      <w:rFonts w:ascii="Times New Roman" w:hAnsi="Times New Roman" w:cs="Times New Roman"/>
                      <w:b/>
                      <w:kern w:val="0"/>
                      <w:szCs w:val="21"/>
                    </w:rPr>
                    <w:t>kg/h</w:t>
                  </w:r>
                </w:p>
              </w:tc>
              <w:tc>
                <w:tcPr>
                  <w:tcW w:w="837"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产生量</w:t>
                  </w:r>
                </w:p>
                <w:p>
                  <w:pPr>
                    <w:snapToGrid w:val="0"/>
                    <w:jc w:val="center"/>
                    <w:rPr>
                      <w:rFonts w:ascii="Times New Roman" w:hAnsi="Times New Roman" w:cs="Times New Roman"/>
                      <w:b/>
                      <w:kern w:val="0"/>
                      <w:szCs w:val="21"/>
                    </w:rPr>
                  </w:pPr>
                  <w:r>
                    <w:rPr>
                      <w:rFonts w:ascii="Times New Roman" w:hAnsi="Times New Roman" w:cs="Times New Roman"/>
                      <w:b/>
                      <w:kern w:val="0"/>
                      <w:szCs w:val="21"/>
                    </w:rPr>
                    <w:t>t/a</w:t>
                  </w:r>
                </w:p>
              </w:tc>
              <w:tc>
                <w:tcPr>
                  <w:tcW w:w="1113" w:type="dxa"/>
                  <w:vMerge w:val="continue"/>
                  <w:vAlign w:val="center"/>
                </w:tcPr>
                <w:p>
                  <w:pPr>
                    <w:widowControl/>
                    <w:snapToGrid w:val="0"/>
                    <w:jc w:val="center"/>
                    <w:rPr>
                      <w:rFonts w:ascii="Times New Roman" w:hAnsi="Times New Roman" w:cs="Times New Roman"/>
                      <w:b/>
                      <w:kern w:val="0"/>
                      <w:szCs w:val="21"/>
                    </w:rPr>
                  </w:pPr>
                </w:p>
              </w:tc>
              <w:tc>
                <w:tcPr>
                  <w:tcW w:w="558" w:type="dxa"/>
                  <w:vMerge w:val="continue"/>
                  <w:vAlign w:val="center"/>
                </w:tcPr>
                <w:p>
                  <w:pPr>
                    <w:widowControl/>
                    <w:snapToGrid w:val="0"/>
                    <w:jc w:val="center"/>
                    <w:rPr>
                      <w:rFonts w:ascii="Times New Roman" w:hAnsi="Times New Roman" w:cs="Times New Roman"/>
                      <w:b/>
                      <w:kern w:val="0"/>
                      <w:szCs w:val="21"/>
                    </w:rPr>
                  </w:pPr>
                </w:p>
              </w:tc>
              <w:tc>
                <w:tcPr>
                  <w:tcW w:w="836"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浓度</w:t>
                  </w:r>
                </w:p>
                <w:p>
                  <w:pPr>
                    <w:snapToGrid w:val="0"/>
                    <w:jc w:val="center"/>
                    <w:rPr>
                      <w:rFonts w:ascii="Times New Roman" w:hAnsi="Times New Roman" w:cs="Times New Roman"/>
                      <w:b/>
                      <w:kern w:val="0"/>
                      <w:szCs w:val="21"/>
                    </w:rPr>
                  </w:pPr>
                  <w:r>
                    <w:rPr>
                      <w:rFonts w:ascii="Times New Roman" w:hAnsi="Times New Roman" w:cs="Times New Roman"/>
                      <w:b/>
                      <w:kern w:val="0"/>
                      <w:szCs w:val="21"/>
                    </w:rPr>
                    <w:t>mg/m</w:t>
                  </w:r>
                  <w:r>
                    <w:rPr>
                      <w:rFonts w:ascii="Times New Roman" w:hAnsi="Times New Roman" w:cs="Times New Roman"/>
                      <w:b/>
                      <w:kern w:val="0"/>
                      <w:szCs w:val="21"/>
                      <w:vertAlign w:val="superscript"/>
                    </w:rPr>
                    <w:t>3</w:t>
                  </w:r>
                </w:p>
              </w:tc>
              <w:tc>
                <w:tcPr>
                  <w:tcW w:w="836"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速率</w:t>
                  </w:r>
                </w:p>
                <w:p>
                  <w:pPr>
                    <w:snapToGrid w:val="0"/>
                    <w:jc w:val="center"/>
                    <w:rPr>
                      <w:rFonts w:ascii="Times New Roman" w:hAnsi="Times New Roman" w:cs="Times New Roman"/>
                      <w:b/>
                      <w:kern w:val="0"/>
                      <w:szCs w:val="21"/>
                    </w:rPr>
                  </w:pPr>
                  <w:r>
                    <w:rPr>
                      <w:rFonts w:ascii="Times New Roman" w:hAnsi="Times New Roman" w:cs="Times New Roman"/>
                      <w:b/>
                      <w:kern w:val="0"/>
                      <w:szCs w:val="21"/>
                    </w:rPr>
                    <w:t>kg/h</w:t>
                  </w:r>
                </w:p>
              </w:tc>
              <w:tc>
                <w:tcPr>
                  <w:tcW w:w="839"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排放量</w:t>
                  </w:r>
                </w:p>
                <w:p>
                  <w:pPr>
                    <w:snapToGrid w:val="0"/>
                    <w:jc w:val="center"/>
                    <w:rPr>
                      <w:rFonts w:ascii="Times New Roman" w:hAnsi="Times New Roman" w:cs="Times New Roman"/>
                      <w:b/>
                      <w:kern w:val="0"/>
                      <w:szCs w:val="21"/>
                    </w:rPr>
                  </w:pPr>
                  <w:r>
                    <w:rPr>
                      <w:rFonts w:ascii="Times New Roman" w:hAnsi="Times New Roman" w:cs="Times New Roman"/>
                      <w:b/>
                      <w:kern w:val="0"/>
                      <w:szCs w:val="21"/>
                    </w:rPr>
                    <w:t>t/a</w:t>
                  </w:r>
                </w:p>
              </w:tc>
              <w:tc>
                <w:tcPr>
                  <w:tcW w:w="836"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浓度</w:t>
                  </w:r>
                </w:p>
                <w:p>
                  <w:pPr>
                    <w:snapToGrid w:val="0"/>
                    <w:jc w:val="center"/>
                    <w:rPr>
                      <w:rFonts w:ascii="Times New Roman" w:hAnsi="Times New Roman" w:cs="Times New Roman"/>
                      <w:b/>
                      <w:spacing w:val="-12"/>
                      <w:kern w:val="0"/>
                      <w:szCs w:val="21"/>
                    </w:rPr>
                  </w:pPr>
                  <w:r>
                    <w:rPr>
                      <w:rFonts w:ascii="Times New Roman" w:hAnsi="Times New Roman" w:cs="Times New Roman"/>
                      <w:b/>
                      <w:spacing w:val="-12"/>
                      <w:kern w:val="0"/>
                      <w:szCs w:val="21"/>
                    </w:rPr>
                    <w:t>mg/m</w:t>
                  </w:r>
                  <w:r>
                    <w:rPr>
                      <w:rFonts w:ascii="Times New Roman" w:hAnsi="Times New Roman" w:cs="Times New Roman"/>
                      <w:b/>
                      <w:spacing w:val="-12"/>
                      <w:kern w:val="0"/>
                      <w:szCs w:val="21"/>
                      <w:vertAlign w:val="superscript"/>
                    </w:rPr>
                    <w:t>3</w:t>
                  </w:r>
                </w:p>
              </w:tc>
              <w:tc>
                <w:tcPr>
                  <w:tcW w:w="696"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速率</w:t>
                  </w:r>
                </w:p>
                <w:p>
                  <w:pPr>
                    <w:snapToGrid w:val="0"/>
                    <w:jc w:val="center"/>
                    <w:rPr>
                      <w:rFonts w:ascii="Times New Roman" w:hAnsi="Times New Roman" w:cs="Times New Roman"/>
                      <w:b/>
                      <w:kern w:val="0"/>
                      <w:szCs w:val="21"/>
                    </w:rPr>
                  </w:pPr>
                  <w:r>
                    <w:rPr>
                      <w:rFonts w:ascii="Times New Roman" w:hAnsi="Times New Roman" w:cs="Times New Roman"/>
                      <w:b/>
                      <w:kern w:val="0"/>
                      <w:szCs w:val="21"/>
                    </w:rPr>
                    <w:t>kg/h</w:t>
                  </w:r>
                </w:p>
              </w:tc>
              <w:tc>
                <w:tcPr>
                  <w:tcW w:w="557"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高度</w:t>
                  </w:r>
                </w:p>
                <w:p>
                  <w:pPr>
                    <w:snapToGrid w:val="0"/>
                    <w:jc w:val="center"/>
                    <w:rPr>
                      <w:rFonts w:ascii="Times New Roman" w:hAnsi="Times New Roman" w:cs="Times New Roman"/>
                      <w:b/>
                      <w:kern w:val="0"/>
                      <w:szCs w:val="21"/>
                    </w:rPr>
                  </w:pPr>
                  <w:r>
                    <w:rPr>
                      <w:rFonts w:ascii="Times New Roman" w:hAnsi="Times New Roman" w:cs="Times New Roman"/>
                      <w:b/>
                      <w:kern w:val="0"/>
                      <w:szCs w:val="21"/>
                    </w:rPr>
                    <w:t>m</w:t>
                  </w:r>
                </w:p>
              </w:tc>
              <w:tc>
                <w:tcPr>
                  <w:tcW w:w="558"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直径</w:t>
                  </w:r>
                </w:p>
                <w:p>
                  <w:pPr>
                    <w:snapToGrid w:val="0"/>
                    <w:jc w:val="center"/>
                    <w:rPr>
                      <w:rFonts w:ascii="Times New Roman" w:hAnsi="Times New Roman" w:cs="Times New Roman"/>
                      <w:b/>
                      <w:kern w:val="0"/>
                      <w:szCs w:val="21"/>
                    </w:rPr>
                  </w:pPr>
                  <w:r>
                    <w:rPr>
                      <w:rFonts w:ascii="Times New Roman" w:hAnsi="Times New Roman" w:cs="Times New Roman"/>
                      <w:b/>
                      <w:kern w:val="0"/>
                      <w:szCs w:val="21"/>
                    </w:rPr>
                    <w:t>m</w:t>
                  </w:r>
                </w:p>
              </w:tc>
              <w:tc>
                <w:tcPr>
                  <w:tcW w:w="557" w:type="dxa"/>
                  <w:vAlign w:val="center"/>
                </w:tcPr>
                <w:p>
                  <w:pPr>
                    <w:widowControl/>
                    <w:snapToGrid w:val="0"/>
                    <w:jc w:val="center"/>
                    <w:rPr>
                      <w:rFonts w:ascii="Times New Roman" w:hAnsi="Times New Roman" w:cs="Times New Roman"/>
                      <w:b/>
                      <w:kern w:val="0"/>
                      <w:szCs w:val="21"/>
                    </w:rPr>
                  </w:pPr>
                  <w:r>
                    <w:rPr>
                      <w:rFonts w:ascii="Times New Roman" w:hAnsi="Times New Roman" w:cs="Times New Roman"/>
                      <w:b/>
                      <w:kern w:val="0"/>
                      <w:szCs w:val="21"/>
                    </w:rPr>
                    <w:t>温度</w:t>
                  </w:r>
                </w:p>
                <w:p>
                  <w:pPr>
                    <w:snapToGrid w:val="0"/>
                    <w:jc w:val="center"/>
                    <w:rPr>
                      <w:rFonts w:ascii="Times New Roman" w:hAnsi="Times New Roman" w:cs="Times New Roman"/>
                      <w:b/>
                      <w:kern w:val="0"/>
                      <w:szCs w:val="21"/>
                    </w:rPr>
                  </w:pPr>
                  <w:r>
                    <w:rPr>
                      <w:rFonts w:ascii="Times New Roman" w:hAnsi="Times New Roman" w:cs="Times New Roman"/>
                      <w:b/>
                      <w:kern w:val="0"/>
                      <w:szCs w:val="21"/>
                    </w:rPr>
                    <w:t>℃</w:t>
                  </w:r>
                </w:p>
              </w:tc>
              <w:tc>
                <w:tcPr>
                  <w:tcW w:w="697" w:type="dxa"/>
                  <w:vMerge w:val="continue"/>
                  <w:vAlign w:val="center"/>
                </w:tcPr>
                <w:p>
                  <w:pPr>
                    <w:widowControl/>
                    <w:snapToGrid w:val="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blHeader/>
                <w:jc w:val="center"/>
              </w:trPr>
              <w:tc>
                <w:tcPr>
                  <w:tcW w:w="510"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G1</w:t>
                  </w:r>
                </w:p>
              </w:tc>
              <w:tc>
                <w:tcPr>
                  <w:tcW w:w="430" w:type="dxa"/>
                  <w:vMerge w:val="restart"/>
                  <w:vAlign w:val="center"/>
                </w:tcPr>
                <w:p>
                  <w:pPr>
                    <w:snapToGrid w:val="0"/>
                    <w:jc w:val="center"/>
                    <w:rPr>
                      <w:rFonts w:ascii="Times New Roman" w:hAnsi="Times New Roman" w:cs="Times New Roman"/>
                      <w:kern w:val="0"/>
                      <w:szCs w:val="21"/>
                    </w:rPr>
                  </w:pPr>
                  <w:r>
                    <w:rPr>
                      <w:rFonts w:hint="eastAsia" w:ascii="Times New Roman" w:hAnsi="Times New Roman" w:cs="Times New Roman"/>
                      <w:kern w:val="0"/>
                      <w:szCs w:val="21"/>
                      <w:lang w:val="en-US" w:eastAsia="zh-CN"/>
                    </w:rPr>
                    <w:t>1</w:t>
                  </w:r>
                  <w:r>
                    <w:rPr>
                      <w:rFonts w:ascii="Times New Roman" w:hAnsi="Times New Roman" w:cs="Times New Roman"/>
                      <w:kern w:val="0"/>
                      <w:szCs w:val="21"/>
                    </w:rPr>
                    <w:t>#</w:t>
                  </w:r>
                </w:p>
              </w:tc>
              <w:tc>
                <w:tcPr>
                  <w:tcW w:w="712"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供热</w:t>
                  </w:r>
                </w:p>
              </w:tc>
              <w:tc>
                <w:tcPr>
                  <w:tcW w:w="835" w:type="dxa"/>
                  <w:vMerge w:val="restart"/>
                  <w:vAlign w:val="center"/>
                </w:tcPr>
                <w:p>
                  <w:pPr>
                    <w:widowControl/>
                    <w:snapToGrid w:val="0"/>
                    <w:jc w:val="center"/>
                    <w:rPr>
                      <w:rFonts w:ascii="Times New Roman" w:hAnsi="Times New Roman" w:cs="Times New Roman"/>
                      <w:kern w:val="0"/>
                      <w:szCs w:val="21"/>
                    </w:rPr>
                  </w:pPr>
                  <w:r>
                    <w:rPr>
                      <w:rFonts w:hint="eastAsia" w:ascii="Times New Roman" w:hAnsi="Times New Roman" w:cs="Times New Roman"/>
                      <w:color w:val="000000"/>
                      <w:kern w:val="0"/>
                      <w:szCs w:val="21"/>
                      <w:lang w:val="en-US" w:eastAsia="zh-CN"/>
                    </w:rPr>
                    <w:t>520.02</w:t>
                  </w:r>
                </w:p>
              </w:tc>
              <w:tc>
                <w:tcPr>
                  <w:tcW w:w="869"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烟尘</w:t>
                  </w:r>
                </w:p>
              </w:tc>
              <w:tc>
                <w:tcPr>
                  <w:tcW w:w="864" w:type="dxa"/>
                  <w:shd w:val="clear" w:color="auto" w:fill="auto"/>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80.125</w:t>
                  </w:r>
                </w:p>
              </w:tc>
              <w:tc>
                <w:tcPr>
                  <w:tcW w:w="808"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0.042</w:t>
                  </w:r>
                </w:p>
              </w:tc>
              <w:tc>
                <w:tcPr>
                  <w:tcW w:w="837"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0.3</w:t>
                  </w:r>
                </w:p>
              </w:tc>
              <w:tc>
                <w:tcPr>
                  <w:tcW w:w="1113" w:type="dxa"/>
                  <w:vMerge w:val="restart"/>
                  <w:vAlign w:val="center"/>
                </w:tcPr>
                <w:p>
                  <w:pPr>
                    <w:widowControl/>
                    <w:snapToGrid w:val="0"/>
                    <w:jc w:val="center"/>
                    <w:rPr>
                      <w:rFonts w:ascii="Times New Roman" w:hAnsi="Times New Roman" w:cs="Times New Roman"/>
                      <w:snapToGrid w:val="0"/>
                      <w:kern w:val="0"/>
                      <w:szCs w:val="21"/>
                    </w:rPr>
                  </w:pPr>
                  <w:r>
                    <w:rPr>
                      <w:rFonts w:ascii="Times New Roman" w:hAnsi="Times New Roman" w:cs="Times New Roman"/>
                      <w:snapToGrid w:val="0"/>
                      <w:kern w:val="0"/>
                      <w:szCs w:val="21"/>
                    </w:rPr>
                    <w:t>水膜除尘</w:t>
                  </w:r>
                </w:p>
              </w:tc>
              <w:tc>
                <w:tcPr>
                  <w:tcW w:w="558"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95</w:t>
                  </w:r>
                </w:p>
              </w:tc>
              <w:tc>
                <w:tcPr>
                  <w:tcW w:w="836" w:type="dxa"/>
                  <w:vAlign w:val="center"/>
                </w:tcPr>
                <w:p>
                  <w:pPr>
                    <w:widowControl/>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4.01</w:t>
                  </w:r>
                </w:p>
              </w:tc>
              <w:tc>
                <w:tcPr>
                  <w:tcW w:w="836" w:type="dxa"/>
                  <w:vAlign w:val="center"/>
                </w:tcPr>
                <w:p>
                  <w:pPr>
                    <w:widowControl/>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0.002</w:t>
                  </w:r>
                </w:p>
              </w:tc>
              <w:tc>
                <w:tcPr>
                  <w:tcW w:w="839"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0.015</w:t>
                  </w:r>
                </w:p>
              </w:tc>
              <w:tc>
                <w:tcPr>
                  <w:tcW w:w="836"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30</w:t>
                  </w:r>
                </w:p>
              </w:tc>
              <w:tc>
                <w:tcPr>
                  <w:tcW w:w="696"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557" w:type="dxa"/>
                  <w:vMerge w:val="restart"/>
                  <w:vAlign w:val="center"/>
                </w:tcPr>
                <w:p>
                  <w:pPr>
                    <w:widowControl/>
                    <w:snapToGrid w:val="0"/>
                    <w:jc w:val="center"/>
                    <w:rPr>
                      <w:rFonts w:ascii="Times New Roman" w:hAnsi="Times New Roman" w:cs="Times New Roman"/>
                      <w:kern w:val="0"/>
                      <w:szCs w:val="21"/>
                      <w:lang w:val="en-US"/>
                    </w:rPr>
                  </w:pPr>
                  <w:r>
                    <w:rPr>
                      <w:rFonts w:hint="eastAsia" w:ascii="Times New Roman" w:hAnsi="Times New Roman" w:cs="Times New Roman"/>
                      <w:kern w:val="0"/>
                      <w:szCs w:val="21"/>
                      <w:lang w:val="en-US" w:eastAsia="zh-CN"/>
                    </w:rPr>
                    <w:t>20</w:t>
                  </w:r>
                </w:p>
              </w:tc>
              <w:tc>
                <w:tcPr>
                  <w:tcW w:w="558" w:type="dxa"/>
                  <w:vMerge w:val="restart"/>
                  <w:vAlign w:val="center"/>
                </w:tcPr>
                <w:p>
                  <w:pPr>
                    <w:widowControl/>
                    <w:snapToGrid w:val="0"/>
                    <w:jc w:val="center"/>
                    <w:rPr>
                      <w:rFonts w:hint="eastAsia" w:ascii="Times New Roman" w:hAnsi="Times New Roman" w:cs="Times New Roman" w:eastAsiaTheme="minorEastAsia"/>
                      <w:kern w:val="0"/>
                      <w:szCs w:val="21"/>
                      <w:lang w:eastAsia="zh-CN"/>
                    </w:rPr>
                  </w:pPr>
                  <w:r>
                    <w:rPr>
                      <w:rFonts w:ascii="Times New Roman" w:hAnsi="Times New Roman" w:cs="Times New Roman"/>
                      <w:kern w:val="0"/>
                      <w:szCs w:val="21"/>
                    </w:rPr>
                    <w:t>0.</w:t>
                  </w:r>
                  <w:r>
                    <w:rPr>
                      <w:rFonts w:hint="eastAsia" w:ascii="Times New Roman" w:hAnsi="Times New Roman" w:cs="Times New Roman"/>
                      <w:kern w:val="0"/>
                      <w:szCs w:val="21"/>
                      <w:lang w:val="en-US" w:eastAsia="zh-CN"/>
                    </w:rPr>
                    <w:t>1</w:t>
                  </w:r>
                </w:p>
              </w:tc>
              <w:tc>
                <w:tcPr>
                  <w:tcW w:w="557" w:type="dxa"/>
                  <w:vMerge w:val="restart"/>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1</w:t>
                  </w:r>
                  <w:r>
                    <w:rPr>
                      <w:rFonts w:hint="eastAsia" w:ascii="Times New Roman" w:hAnsi="Times New Roman" w:cs="Times New Roman"/>
                      <w:kern w:val="0"/>
                      <w:szCs w:val="21"/>
                      <w:lang w:val="en-US" w:eastAsia="zh-CN"/>
                    </w:rPr>
                    <w:t>0</w:t>
                  </w:r>
                  <w:r>
                    <w:rPr>
                      <w:rFonts w:ascii="Times New Roman" w:hAnsi="Times New Roman" w:cs="Times New Roman"/>
                      <w:kern w:val="0"/>
                      <w:szCs w:val="21"/>
                    </w:rPr>
                    <w:t>0</w:t>
                  </w:r>
                </w:p>
              </w:tc>
              <w:tc>
                <w:tcPr>
                  <w:tcW w:w="697" w:type="dxa"/>
                  <w:vMerge w:val="restart"/>
                  <w:vAlign w:val="center"/>
                </w:tcPr>
                <w:p>
                  <w:pPr>
                    <w:widowControl/>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7200</w:t>
                  </w:r>
                </w:p>
                <w:p>
                  <w:pPr>
                    <w:widowControl/>
                    <w:snapToGrid w:val="0"/>
                    <w:jc w:val="center"/>
                    <w:rPr>
                      <w:rFonts w:ascii="Times New Roman" w:hAnsi="Times New Roman" w:cs="Times New Roman"/>
                      <w:szCs w:val="21"/>
                    </w:rPr>
                  </w:pPr>
                  <w:r>
                    <w:rPr>
                      <w:rFonts w:ascii="Times New Roman" w:hAnsi="Times New Roman" w:cs="Times New Roman"/>
                      <w:szCs w:val="21"/>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blHeader/>
                <w:jc w:val="center"/>
              </w:trPr>
              <w:tc>
                <w:tcPr>
                  <w:tcW w:w="510" w:type="dxa"/>
                  <w:vMerge w:val="continue"/>
                  <w:vAlign w:val="center"/>
                </w:tcPr>
                <w:p>
                  <w:pPr>
                    <w:widowControl/>
                    <w:snapToGrid w:val="0"/>
                    <w:jc w:val="center"/>
                    <w:rPr>
                      <w:rFonts w:ascii="Times New Roman" w:hAnsi="Times New Roman" w:cs="Times New Roman"/>
                      <w:kern w:val="0"/>
                      <w:szCs w:val="21"/>
                    </w:rPr>
                  </w:pPr>
                </w:p>
              </w:tc>
              <w:tc>
                <w:tcPr>
                  <w:tcW w:w="430" w:type="dxa"/>
                  <w:vMerge w:val="continue"/>
                  <w:vAlign w:val="center"/>
                </w:tcPr>
                <w:p>
                  <w:pPr>
                    <w:widowControl/>
                    <w:snapToGrid w:val="0"/>
                    <w:jc w:val="center"/>
                    <w:rPr>
                      <w:rFonts w:ascii="Times New Roman" w:hAnsi="Times New Roman" w:cs="Times New Roman"/>
                      <w:kern w:val="0"/>
                      <w:szCs w:val="21"/>
                    </w:rPr>
                  </w:pPr>
                </w:p>
              </w:tc>
              <w:tc>
                <w:tcPr>
                  <w:tcW w:w="712" w:type="dxa"/>
                  <w:vMerge w:val="continue"/>
                  <w:vAlign w:val="center"/>
                </w:tcPr>
                <w:p>
                  <w:pPr>
                    <w:widowControl/>
                    <w:snapToGrid w:val="0"/>
                    <w:jc w:val="center"/>
                    <w:rPr>
                      <w:rFonts w:ascii="Times New Roman" w:hAnsi="Times New Roman" w:cs="Times New Roman"/>
                      <w:kern w:val="0"/>
                      <w:szCs w:val="21"/>
                    </w:rPr>
                  </w:pPr>
                </w:p>
              </w:tc>
              <w:tc>
                <w:tcPr>
                  <w:tcW w:w="835" w:type="dxa"/>
                  <w:vMerge w:val="continue"/>
                  <w:vAlign w:val="center"/>
                </w:tcPr>
                <w:p>
                  <w:pPr>
                    <w:widowControl/>
                    <w:snapToGrid w:val="0"/>
                    <w:jc w:val="center"/>
                    <w:rPr>
                      <w:rFonts w:ascii="Times New Roman" w:hAnsi="Times New Roman" w:cs="Times New Roman"/>
                      <w:kern w:val="0"/>
                      <w:szCs w:val="21"/>
                    </w:rPr>
                  </w:pPr>
                </w:p>
              </w:tc>
              <w:tc>
                <w:tcPr>
                  <w:tcW w:w="869"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NOx</w:t>
                  </w:r>
                </w:p>
              </w:tc>
              <w:tc>
                <w:tcPr>
                  <w:tcW w:w="864" w:type="dxa"/>
                  <w:shd w:val="clear" w:color="auto" w:fill="auto"/>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163.46</w:t>
                  </w:r>
                </w:p>
              </w:tc>
              <w:tc>
                <w:tcPr>
                  <w:tcW w:w="808"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0.085</w:t>
                  </w:r>
                </w:p>
              </w:tc>
              <w:tc>
                <w:tcPr>
                  <w:tcW w:w="837"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0.612</w:t>
                  </w:r>
                </w:p>
              </w:tc>
              <w:tc>
                <w:tcPr>
                  <w:tcW w:w="1113" w:type="dxa"/>
                  <w:vMerge w:val="continue"/>
                  <w:vAlign w:val="center"/>
                </w:tcPr>
                <w:p>
                  <w:pPr>
                    <w:widowControl/>
                    <w:snapToGrid w:val="0"/>
                    <w:jc w:val="center"/>
                    <w:rPr>
                      <w:rFonts w:ascii="Times New Roman" w:hAnsi="Times New Roman" w:cs="Times New Roman"/>
                      <w:snapToGrid w:val="0"/>
                      <w:kern w:val="0"/>
                      <w:szCs w:val="21"/>
                    </w:rPr>
                  </w:pPr>
                </w:p>
              </w:tc>
              <w:tc>
                <w:tcPr>
                  <w:tcW w:w="558"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36"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163.46</w:t>
                  </w:r>
                </w:p>
              </w:tc>
              <w:tc>
                <w:tcPr>
                  <w:tcW w:w="836"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0.085</w:t>
                  </w:r>
                </w:p>
              </w:tc>
              <w:tc>
                <w:tcPr>
                  <w:tcW w:w="839" w:type="dxa"/>
                  <w:vAlign w:val="center"/>
                </w:tcPr>
                <w:p>
                  <w:pPr>
                    <w:widowControl/>
                    <w:jc w:val="center"/>
                    <w:rPr>
                      <w:rFonts w:ascii="Times New Roman" w:hAnsi="Times New Roman" w:cs="Times New Roman"/>
                      <w:szCs w:val="21"/>
                    </w:rPr>
                  </w:pPr>
                  <w:r>
                    <w:rPr>
                      <w:rFonts w:hint="eastAsia" w:ascii="Times New Roman" w:hAnsi="Times New Roman" w:cs="Times New Roman"/>
                      <w:szCs w:val="21"/>
                      <w:lang w:val="en-US" w:eastAsia="zh-CN"/>
                    </w:rPr>
                    <w:t>0.612</w:t>
                  </w:r>
                </w:p>
              </w:tc>
              <w:tc>
                <w:tcPr>
                  <w:tcW w:w="836"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200</w:t>
                  </w:r>
                </w:p>
              </w:tc>
              <w:tc>
                <w:tcPr>
                  <w:tcW w:w="696" w:type="dxa"/>
                  <w:vAlign w:val="center"/>
                </w:tcPr>
                <w:p>
                  <w:pPr>
                    <w:widowControl/>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557" w:type="dxa"/>
                  <w:vMerge w:val="continue"/>
                  <w:vAlign w:val="center"/>
                </w:tcPr>
                <w:p>
                  <w:pPr>
                    <w:widowControl/>
                    <w:snapToGrid w:val="0"/>
                    <w:jc w:val="center"/>
                    <w:rPr>
                      <w:rFonts w:ascii="Times New Roman" w:hAnsi="Times New Roman" w:cs="Times New Roman"/>
                      <w:kern w:val="0"/>
                      <w:szCs w:val="21"/>
                    </w:rPr>
                  </w:pPr>
                </w:p>
              </w:tc>
              <w:tc>
                <w:tcPr>
                  <w:tcW w:w="558" w:type="dxa"/>
                  <w:vMerge w:val="continue"/>
                  <w:vAlign w:val="center"/>
                </w:tcPr>
                <w:p>
                  <w:pPr>
                    <w:widowControl/>
                    <w:snapToGrid w:val="0"/>
                    <w:jc w:val="center"/>
                    <w:rPr>
                      <w:rFonts w:ascii="Times New Roman" w:hAnsi="Times New Roman" w:cs="Times New Roman"/>
                      <w:kern w:val="0"/>
                      <w:szCs w:val="21"/>
                    </w:rPr>
                  </w:pPr>
                </w:p>
              </w:tc>
              <w:tc>
                <w:tcPr>
                  <w:tcW w:w="557" w:type="dxa"/>
                  <w:vMerge w:val="continue"/>
                  <w:vAlign w:val="center"/>
                </w:tcPr>
                <w:p>
                  <w:pPr>
                    <w:widowControl/>
                    <w:snapToGrid w:val="0"/>
                    <w:jc w:val="center"/>
                    <w:rPr>
                      <w:rFonts w:ascii="Times New Roman" w:hAnsi="Times New Roman" w:cs="Times New Roman"/>
                      <w:kern w:val="0"/>
                      <w:szCs w:val="21"/>
                    </w:rPr>
                  </w:pPr>
                </w:p>
              </w:tc>
              <w:tc>
                <w:tcPr>
                  <w:tcW w:w="697" w:type="dxa"/>
                  <w:vMerge w:val="continue"/>
                  <w:vAlign w:val="center"/>
                </w:tcPr>
                <w:p>
                  <w:pPr>
                    <w:widowControl/>
                    <w:snapToGrid w:val="0"/>
                    <w:jc w:val="center"/>
                    <w:rPr>
                      <w:rFonts w:ascii="Times New Roman" w:hAnsi="Times New Roman" w:cs="Times New Roman"/>
                      <w:szCs w:val="21"/>
                    </w:rPr>
                  </w:pPr>
                </w:p>
              </w:tc>
            </w:tr>
          </w:tbl>
          <w:p>
            <w:pPr>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本项目无组织排放情况一览表见表5-1</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w:t>
            </w:r>
          </w:p>
          <w:p>
            <w:pPr>
              <w:pStyle w:val="26"/>
              <w:rPr>
                <w:rFonts w:hint="default" w:ascii="Times New Roman" w:hAnsi="Times New Roman" w:cs="Times New Roman"/>
                <w:color w:val="auto"/>
              </w:rPr>
            </w:pPr>
            <w:r>
              <w:rPr>
                <w:rFonts w:hint="default" w:ascii="Times New Roman" w:hAnsi="Times New Roman" w:cs="Times New Roman"/>
                <w:color w:val="auto"/>
              </w:rPr>
              <w:t>表5-1</w:t>
            </w:r>
            <w:r>
              <w:rPr>
                <w:rFonts w:hint="eastAsia" w:ascii="Times New Roman" w:hAnsi="Times New Roman" w:cs="Times New Roman"/>
                <w:color w:val="auto"/>
                <w:lang w:val="en-US" w:eastAsia="zh-CN"/>
              </w:rPr>
              <w:t>1</w:t>
            </w:r>
            <w:r>
              <w:rPr>
                <w:rFonts w:hint="default" w:ascii="Times New Roman" w:hAnsi="Times New Roman" w:cs="Times New Roman"/>
                <w:color w:val="auto"/>
              </w:rPr>
              <w:t xml:space="preserve"> 本项目无组织排放情况表</w:t>
            </w:r>
          </w:p>
          <w:tbl>
            <w:tblPr>
              <w:tblStyle w:val="15"/>
              <w:tblW w:w="13938" w:type="dxa"/>
              <w:tblInd w:w="0" w:type="dxa"/>
              <w:shd w:val="clear" w:color="auto" w:fill="auto"/>
              <w:tblLayout w:type="fixed"/>
              <w:tblCellMar>
                <w:top w:w="0" w:type="dxa"/>
                <w:left w:w="0" w:type="dxa"/>
                <w:bottom w:w="0" w:type="dxa"/>
                <w:right w:w="0" w:type="dxa"/>
              </w:tblCellMar>
            </w:tblPr>
            <w:tblGrid>
              <w:gridCol w:w="1743"/>
              <w:gridCol w:w="1742"/>
              <w:gridCol w:w="1742"/>
              <w:gridCol w:w="1742"/>
              <w:gridCol w:w="1743"/>
              <w:gridCol w:w="1742"/>
              <w:gridCol w:w="1742"/>
              <w:gridCol w:w="1742"/>
            </w:tblGrid>
            <w:tr>
              <w:tblPrEx>
                <w:shd w:val="clear" w:color="auto" w:fill="auto"/>
                <w:tblLayout w:type="fixed"/>
                <w:tblCellMar>
                  <w:top w:w="0" w:type="dxa"/>
                  <w:left w:w="0" w:type="dxa"/>
                  <w:bottom w:w="0" w:type="dxa"/>
                  <w:right w:w="0" w:type="dxa"/>
                </w:tblCellMar>
              </w:tblPrEx>
              <w:trPr>
                <w:trHeight w:val="585" w:hRule="atLeast"/>
              </w:trPr>
              <w:tc>
                <w:tcPr>
                  <w:tcW w:w="17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污染源位置</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污染物</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产生量t/a</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削减量t/a</w:t>
                  </w:r>
                </w:p>
              </w:tc>
              <w:tc>
                <w:tcPr>
                  <w:tcW w:w="17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排放量t/a</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排放速率kg/h</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面源面积（m</w:t>
                  </w:r>
                  <w:r>
                    <w:rPr>
                      <w:rFonts w:hint="default" w:ascii="Times New Roman" w:hAnsi="Times New Roman" w:eastAsia="宋体" w:cs="Times New Roman"/>
                      <w:b/>
                      <w:i w:val="0"/>
                      <w:color w:val="000000"/>
                      <w:kern w:val="0"/>
                      <w:sz w:val="21"/>
                      <w:szCs w:val="21"/>
                      <w:u w:val="none"/>
                      <w:vertAlign w:val="superscript"/>
                      <w:lang w:val="en-US" w:eastAsia="zh-CN" w:bidi="ar"/>
                    </w:rPr>
                    <w:t>2</w:t>
                  </w:r>
                  <w:r>
                    <w:rPr>
                      <w:rFonts w:hint="default" w:ascii="Times New Roman" w:hAnsi="Times New Roman" w:eastAsia="宋体" w:cs="Times New Roman"/>
                      <w:b/>
                      <w:i w:val="0"/>
                      <w:color w:val="000000"/>
                      <w:kern w:val="0"/>
                      <w:sz w:val="21"/>
                      <w:szCs w:val="21"/>
                      <w:u w:val="none"/>
                      <w:lang w:val="en-US" w:eastAsia="zh-CN" w:bidi="ar"/>
                    </w:rPr>
                    <w:t>）</w:t>
                  </w:r>
                </w:p>
              </w:tc>
              <w:tc>
                <w:tcPr>
                  <w:tcW w:w="17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面源高度</w:t>
                  </w:r>
                </w:p>
              </w:tc>
            </w:tr>
            <w:tr>
              <w:tblPrEx>
                <w:shd w:val="clear" w:color="auto" w:fill="auto"/>
                <w:tblLayout w:type="fixed"/>
                <w:tblCellMar>
                  <w:top w:w="0" w:type="dxa"/>
                  <w:left w:w="0" w:type="dxa"/>
                  <w:bottom w:w="0" w:type="dxa"/>
                  <w:right w:w="0" w:type="dxa"/>
                </w:tblCellMar>
              </w:tblPrEx>
              <w:trPr>
                <w:trHeight w:val="825" w:hRule="atLeast"/>
              </w:trPr>
              <w:tc>
                <w:tcPr>
                  <w:tcW w:w="174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生产车间</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颗粒物</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2</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1.9</w:t>
                  </w:r>
                </w:p>
              </w:tc>
              <w:tc>
                <w:tcPr>
                  <w:tcW w:w="17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r>
                    <w:rPr>
                      <w:rFonts w:hint="eastAsia" w:ascii="Times New Roman" w:hAnsi="Times New Roman" w:eastAsia="宋体" w:cs="Times New Roman"/>
                      <w:i w:val="0"/>
                      <w:color w:val="000000"/>
                      <w:kern w:val="0"/>
                      <w:sz w:val="21"/>
                      <w:szCs w:val="21"/>
                      <w:u w:val="none"/>
                      <w:lang w:val="en-US" w:eastAsia="zh-CN" w:bidi="ar"/>
                    </w:rPr>
                    <w:t>1</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0.0139</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1500</w:t>
                  </w:r>
                </w:p>
              </w:tc>
              <w:tc>
                <w:tcPr>
                  <w:tcW w:w="1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r>
          </w:tbl>
          <w:p>
            <w:pPr>
              <w:rPr>
                <w:rFonts w:ascii="Times New Roman" w:hAnsi="Times New Roman" w:eastAsia="宋体" w:cs="Times New Roman"/>
                <w:b/>
                <w:color w:val="auto"/>
                <w:sz w:val="30"/>
                <w:szCs w:val="30"/>
                <w:vertAlign w:val="baseline"/>
              </w:rPr>
            </w:pPr>
          </w:p>
        </w:tc>
      </w:tr>
    </w:tbl>
    <w:p>
      <w:pPr>
        <w:rPr>
          <w:rFonts w:ascii="Times New Roman" w:hAnsi="Times New Roman" w:eastAsia="宋体" w:cs="Times New Roman"/>
          <w:b/>
          <w:color w:val="auto"/>
          <w:sz w:val="30"/>
          <w:szCs w:val="30"/>
        </w:rPr>
        <w:sectPr>
          <w:pgSz w:w="16838" w:h="11906" w:orient="landscape"/>
          <w:pgMar w:top="1803" w:right="1440" w:bottom="1803" w:left="1440" w:header="851" w:footer="992" w:gutter="0"/>
          <w:pgNumType w:fmt="decimal"/>
          <w:cols w:space="0" w:num="1"/>
          <w:rtlGutter w:val="0"/>
          <w:docGrid w:type="lines" w:linePitch="319" w:charSpace="0"/>
        </w:sectPr>
      </w:pPr>
    </w:p>
    <w:tbl>
      <w:tblPr>
        <w:tblStyle w:val="16"/>
        <w:tblW w:w="85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7" w:type="dxa"/>
          </w:tcPr>
          <w:p>
            <w:pPr>
              <w:numPr>
                <w:ilvl w:val="0"/>
                <w:numId w:val="1"/>
              </w:numPr>
              <w:spacing w:line="360" w:lineRule="auto"/>
              <w:ind w:left="0" w:leftChars="0"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污染防治措施可行性论证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燃烧</w:t>
            </w:r>
            <w:r>
              <w:rPr>
                <w:rFonts w:ascii="Times New Roman" w:hAnsi="Times New Roman" w:cs="Times New Roman"/>
                <w:sz w:val="24"/>
                <w:szCs w:val="24"/>
              </w:rPr>
              <w:t>废气（G1）经水膜除尘处理后通过1根2</w:t>
            </w:r>
            <w:r>
              <w:rPr>
                <w:rFonts w:hint="eastAsia" w:ascii="Times New Roman" w:hAnsi="Times New Roman" w:cs="Times New Roman"/>
                <w:sz w:val="24"/>
                <w:szCs w:val="24"/>
                <w:lang w:val="en-US" w:eastAsia="zh-CN"/>
              </w:rPr>
              <w:t>0</w:t>
            </w:r>
            <w:r>
              <w:rPr>
                <w:rFonts w:ascii="Times New Roman" w:hAnsi="Times New Roman" w:cs="Times New Roman"/>
                <w:sz w:val="24"/>
                <w:szCs w:val="24"/>
              </w:rPr>
              <w:t>米高排气筒（</w:t>
            </w:r>
            <w:r>
              <w:rPr>
                <w:rFonts w:hint="eastAsia" w:ascii="Times New Roman" w:hAnsi="Times New Roman" w:cs="Times New Roman"/>
                <w:sz w:val="24"/>
                <w:szCs w:val="24"/>
                <w:lang w:val="en-US" w:eastAsia="zh-CN"/>
              </w:rPr>
              <w:t>1</w:t>
            </w:r>
            <w:r>
              <w:rPr>
                <w:rFonts w:ascii="Times New Roman" w:hAnsi="Times New Roman" w:cs="Times New Roman"/>
                <w:sz w:val="24"/>
                <w:szCs w:val="24"/>
              </w:rPr>
              <w:t>#）达标排放。除尘设备除尘率95%。</w:t>
            </w:r>
          </w:p>
          <w:p>
            <w:pPr>
              <w:spacing w:line="360" w:lineRule="auto"/>
              <w:ind w:firstLine="361" w:firstLineChars="150"/>
              <w:rPr>
                <w:rFonts w:ascii="Times New Roman" w:hAnsi="Times New Roman" w:cs="Times New Roman"/>
                <w:b/>
                <w:sz w:val="24"/>
                <w:szCs w:val="24"/>
              </w:rPr>
            </w:pPr>
            <w:bookmarkStart w:id="0" w:name="_Toc450112985"/>
            <w:r>
              <w:rPr>
                <w:rFonts w:ascii="Times New Roman" w:hAnsi="Times New Roman" w:cs="Times New Roman"/>
                <w:b/>
                <w:sz w:val="24"/>
                <w:szCs w:val="24"/>
              </w:rPr>
              <w:t>①技术可行性分析</w:t>
            </w:r>
            <w:bookmarkEnd w:id="0"/>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lang w:val="en-US" w:eastAsia="zh-CN"/>
              </w:rPr>
              <w:t>燃烧废气</w:t>
            </w:r>
            <w:r>
              <w:rPr>
                <w:rFonts w:ascii="Times New Roman" w:hAnsi="Times New Roman" w:cs="Times New Roman"/>
                <w:sz w:val="24"/>
                <w:szCs w:val="24"/>
              </w:rPr>
              <w:t>除尘技术分析</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多管除尘器属于旋风类干式除尘器，主要用于锅炉、工业粉尘收集。除尘器机芯由导向器、旋风子、排气管等，采用陶瓷或铸铁材料制成，当含尘气体进入除尘器入口，通过导向器，于旋风子内部旋转，在离心力的作用下，粉尘和气体分离，粉尘降落在集尘箱内，经</w:t>
            </w:r>
            <w:r>
              <w:rPr>
                <w:rFonts w:hint="eastAsia" w:ascii="Times New Roman" w:hAnsi="Times New Roman" w:cs="Times New Roman"/>
                <w:sz w:val="24"/>
                <w:szCs w:val="24"/>
              </w:rPr>
              <w:fldChar w:fldCharType="begin"/>
            </w:r>
            <w:r>
              <w:rPr>
                <w:rFonts w:hint="eastAsia" w:ascii="Times New Roman" w:hAnsi="Times New Roman" w:cs="Times New Roman"/>
                <w:sz w:val="24"/>
                <w:szCs w:val="24"/>
              </w:rPr>
              <w:instrText xml:space="preserve"> HYPERLINK "https://baike.baidu.com/item/%E9%94%81%E6%B0%94%E5%99%A8/375965" \t "https://baike.baidu.com/item/%E5%A4%9A%E7%AE%A1%E9%99%A4%E5%B0%98%E5%99%A8/_blank" </w:instrText>
            </w:r>
            <w:r>
              <w:rPr>
                <w:rFonts w:hint="eastAsia" w:ascii="Times New Roman" w:hAnsi="Times New Roman" w:cs="Times New Roman"/>
                <w:sz w:val="24"/>
                <w:szCs w:val="24"/>
              </w:rPr>
              <w:fldChar w:fldCharType="separate"/>
            </w:r>
            <w:r>
              <w:rPr>
                <w:rFonts w:hint="eastAsia" w:ascii="Times New Roman" w:hAnsi="Times New Roman" w:cs="Times New Roman"/>
                <w:sz w:val="24"/>
                <w:szCs w:val="24"/>
              </w:rPr>
              <w:t>锁气器</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排出。</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布袋除尘器，是一种高效干式除尘器，其除尘原理：含尘气体由灰斗上部进风口进入后，粉尘被阻留在滤袋的外表面，净化后的气体经滤袋口进入上箱体，大膜片两端受力改变，由出风口排出。随着滤袋表面粉尘不断增加，布袋除尘器进出口压差也随之上升，使大膜片动作，将关闭的输出口打开，气包内的压缩空气经由输出管和喷吹管喷入袋内，布袋除尘器实现清灰。当控制信号停止后，电磁阀关闭，小膜片、大膜片相继复位，喷吹停止。</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水膜除尘器是一种依靠强大的离心力的作用把烟尘中的尘粒甩向水膜壁，被侧壁不断流下的水冲走。水膜除尘器是由筒体、轻质浮球、喷嘴、除雾器等组成。筒体内下边是栅板，栅板上放置一定数量的小球，球层上边有喷嘴把喷淋液雾化后喷淋到小球表面，再上边又有一层小球和喷嘴，最上边是脱水器。筒体是浮球塔的基本构架，一般筒体是由碳钢制成，内衬防腐材料，防腐材料可用耐蚀玻璃钢；也可以用聚丙烯制作筒体外包一层玻璃钢。</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根据大气污染防治的相关文献，</w:t>
            </w:r>
            <w:r>
              <w:rPr>
                <w:rFonts w:hint="eastAsia" w:ascii="Times New Roman" w:hAnsi="Times New Roman" w:cs="Times New Roman"/>
                <w:sz w:val="24"/>
                <w:szCs w:val="24"/>
                <w:lang w:val="en-US" w:eastAsia="zh-CN"/>
              </w:rPr>
              <w:t>多管除尘器效率达80%，</w:t>
            </w:r>
            <w:r>
              <w:rPr>
                <w:rFonts w:ascii="Times New Roman" w:hAnsi="Times New Roman" w:cs="Times New Roman"/>
                <w:sz w:val="24"/>
                <w:szCs w:val="24"/>
              </w:rPr>
              <w:t>布袋除尘器除尘效率达9</w:t>
            </w:r>
            <w:r>
              <w:rPr>
                <w:rFonts w:hint="eastAsia" w:ascii="Times New Roman" w:hAnsi="Times New Roman" w:cs="Times New Roman"/>
                <w:sz w:val="24"/>
                <w:szCs w:val="24"/>
                <w:lang w:val="en-US" w:eastAsia="zh-CN"/>
              </w:rPr>
              <w:t>5</w:t>
            </w:r>
            <w:r>
              <w:rPr>
                <w:rFonts w:ascii="Times New Roman" w:hAnsi="Times New Roman" w:cs="Times New Roman"/>
                <w:sz w:val="24"/>
                <w:szCs w:val="24"/>
              </w:rPr>
              <w:t>%，水膜除尘除尘效率达</w:t>
            </w:r>
            <w:r>
              <w:rPr>
                <w:rFonts w:hint="eastAsia" w:ascii="Times New Roman" w:hAnsi="Times New Roman" w:cs="Times New Roman"/>
                <w:sz w:val="24"/>
                <w:szCs w:val="24"/>
                <w:lang w:val="en-US" w:eastAsia="zh-CN"/>
              </w:rPr>
              <w:t>8</w:t>
            </w:r>
            <w:r>
              <w:rPr>
                <w:rFonts w:ascii="Times New Roman" w:hAnsi="Times New Roman" w:cs="Times New Roman"/>
                <w:sz w:val="24"/>
                <w:szCs w:val="24"/>
              </w:rPr>
              <w:t>0%，</w:t>
            </w:r>
            <w:r>
              <w:rPr>
                <w:rFonts w:hint="eastAsia" w:ascii="Times New Roman" w:hAnsi="Times New Roman" w:cs="Times New Roman"/>
                <w:sz w:val="24"/>
                <w:szCs w:val="24"/>
                <w:lang w:val="en-US" w:eastAsia="zh-CN"/>
              </w:rPr>
              <w:t>锅炉废气经过多管除尘器后废气温度可降低至后续布袋除尘承受范围内，</w:t>
            </w:r>
            <w:r>
              <w:rPr>
                <w:rFonts w:ascii="Times New Roman" w:hAnsi="Times New Roman" w:cs="Times New Roman"/>
                <w:sz w:val="24"/>
                <w:szCs w:val="24"/>
              </w:rPr>
              <w:t>本项目保守取总除尘效率为95%。</w:t>
            </w:r>
          </w:p>
          <w:p>
            <w:pPr>
              <w:spacing w:line="360" w:lineRule="auto"/>
              <w:ind w:firstLine="482" w:firstLineChars="200"/>
              <w:rPr>
                <w:rFonts w:hint="default" w:ascii="Times New Roman" w:hAnsi="Times New Roman" w:cs="Times New Roman"/>
                <w:b/>
                <w:bCs/>
                <w:sz w:val="24"/>
                <w:szCs w:val="24"/>
              </w:rPr>
            </w:pPr>
            <w:bookmarkStart w:id="1" w:name="_Toc450112986"/>
            <w:r>
              <w:rPr>
                <w:rFonts w:hint="default" w:ascii="Times New Roman" w:hAnsi="Times New Roman" w:cs="Times New Roman"/>
                <w:b/>
                <w:bCs/>
                <w:sz w:val="24"/>
                <w:szCs w:val="24"/>
                <w:lang w:val="en-US" w:eastAsia="zh-CN"/>
              </w:rPr>
              <w:t>②制粒和冷却废气</w:t>
            </w:r>
            <w:r>
              <w:rPr>
                <w:rFonts w:hint="default" w:ascii="Times New Roman" w:hAnsi="Times New Roman" w:cs="Times New Roman"/>
                <w:b/>
                <w:bCs/>
                <w:sz w:val="24"/>
                <w:szCs w:val="24"/>
              </w:rPr>
              <w:t>污染防治措施</w:t>
            </w:r>
          </w:p>
          <w:p>
            <w:pPr>
              <w:spacing w:line="360" w:lineRule="auto"/>
              <w:ind w:firstLine="480" w:firstLineChars="200"/>
              <w:rPr>
                <w:rFonts w:ascii="Times New Roman" w:hAnsi="Times New Roman" w:cs="Times New Roman"/>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val="en-US" w:eastAsia="zh-CN"/>
              </w:rPr>
              <w:t>制粒和冷却</w:t>
            </w:r>
            <w:r>
              <w:rPr>
                <w:rFonts w:hint="eastAsia" w:ascii="Times New Roman" w:hAnsi="Times New Roman" w:cs="Times New Roman"/>
                <w:sz w:val="24"/>
                <w:szCs w:val="24"/>
                <w:lang w:val="en-US" w:eastAsia="zh-CN"/>
              </w:rPr>
              <w:t>工段</w:t>
            </w:r>
            <w:r>
              <w:rPr>
                <w:rFonts w:hint="default" w:ascii="Times New Roman" w:hAnsi="Times New Roman" w:cs="Times New Roman"/>
                <w:sz w:val="24"/>
                <w:szCs w:val="24"/>
              </w:rPr>
              <w:t>产生颗粒物</w:t>
            </w:r>
            <w:r>
              <w:rPr>
                <w:rFonts w:hint="default" w:ascii="Times New Roman" w:hAnsi="Times New Roman" w:cs="Times New Roman"/>
                <w:sz w:val="24"/>
                <w:szCs w:val="24"/>
                <w:lang w:val="en-US" w:eastAsia="zh-CN"/>
              </w:rPr>
              <w:t>分别经</w:t>
            </w:r>
            <w:r>
              <w:rPr>
                <w:rFonts w:hint="eastAsia" w:ascii="Times New Roman" w:hAnsi="Times New Roman" w:cs="Times New Roman"/>
                <w:sz w:val="24"/>
                <w:szCs w:val="24"/>
                <w:lang w:val="en-US" w:eastAsia="zh-CN"/>
              </w:rPr>
              <w:t>布袋</w:t>
            </w:r>
            <w:r>
              <w:rPr>
                <w:rFonts w:hint="default" w:ascii="Times New Roman" w:hAnsi="Times New Roman" w:cs="Times New Roman"/>
                <w:sz w:val="24"/>
                <w:szCs w:val="24"/>
              </w:rPr>
              <w:t>除尘装置处理</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尾气</w:t>
            </w:r>
            <w:r>
              <w:rPr>
                <w:rFonts w:hint="default" w:ascii="Times New Roman" w:hAnsi="Times New Roman" w:cs="Times New Roman"/>
                <w:sz w:val="24"/>
                <w:szCs w:val="24"/>
                <w:lang w:val="en-US" w:eastAsia="zh-CN"/>
              </w:rPr>
              <w:t>无</w:t>
            </w:r>
            <w:r>
              <w:rPr>
                <w:rFonts w:hint="default" w:ascii="Times New Roman" w:hAnsi="Times New Roman" w:cs="Times New Roman"/>
                <w:sz w:val="24"/>
                <w:szCs w:val="24"/>
              </w:rPr>
              <w:t>组织排放。布袋除尘装置对颗粒物的去除效率可达99%以上，本项目取9</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制粒和冷却</w:t>
            </w:r>
            <w:r>
              <w:rPr>
                <w:rFonts w:hint="eastAsia" w:ascii="Times New Roman" w:hAnsi="Times New Roman" w:cs="Times New Roman"/>
                <w:sz w:val="24"/>
                <w:szCs w:val="24"/>
                <w:lang w:val="en-US" w:eastAsia="zh-CN"/>
              </w:rPr>
              <w:t>工段</w:t>
            </w:r>
            <w:r>
              <w:rPr>
                <w:rFonts w:hint="default" w:ascii="Times New Roman" w:hAnsi="Times New Roman" w:cs="Times New Roman"/>
                <w:sz w:val="24"/>
                <w:szCs w:val="24"/>
              </w:rPr>
              <w:t>产生颗粒物经处理后排放浓度、排放速率可以达到《大气污染物综合排放标准》（GB16297-1996）表2中二级排放标准。</w:t>
            </w:r>
          </w:p>
          <w:p>
            <w:pPr>
              <w:ind w:firstLine="482" w:firstLineChars="200"/>
              <w:jc w:val="left"/>
              <w:outlineLvl w:val="1"/>
              <w:rPr>
                <w:rFonts w:ascii="Times New Roman" w:hAnsi="Times New Roman" w:cs="Times New Roman"/>
                <w:b/>
                <w:sz w:val="24"/>
                <w:szCs w:val="24"/>
              </w:rPr>
            </w:pPr>
            <w:r>
              <w:rPr>
                <w:rFonts w:hint="eastAsia" w:ascii="Times New Roman" w:hAnsi="Times New Roman" w:cs="Times New Roman"/>
                <w:b/>
                <w:sz w:val="24"/>
                <w:szCs w:val="24"/>
                <w:lang w:val="en-US" w:eastAsia="zh-CN"/>
              </w:rPr>
              <w:t>③</w:t>
            </w:r>
            <w:r>
              <w:rPr>
                <w:rFonts w:ascii="Times New Roman" w:hAnsi="Times New Roman" w:cs="Times New Roman"/>
                <w:b/>
                <w:sz w:val="24"/>
                <w:szCs w:val="24"/>
              </w:rPr>
              <w:t>经济可行性分析</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lang w:val="en-US" w:eastAsia="zh-CN" w:bidi="ar"/>
              </w:rPr>
            </w:pPr>
            <w:r>
              <w:rPr>
                <w:rFonts w:hint="eastAsia" w:ascii="Times New Roman" w:hAnsi="Times New Roman" w:cs="Times New Roman"/>
                <w:sz w:val="24"/>
                <w:szCs w:val="24"/>
                <w:lang w:val="en-US" w:eastAsia="zh-CN"/>
              </w:rPr>
              <w:t>本项目</w:t>
            </w:r>
            <w:r>
              <w:rPr>
                <w:rFonts w:hint="eastAsia" w:ascii="Times New Roman" w:hAnsi="Times New Roman" w:cs="Times New Roman"/>
                <w:sz w:val="24"/>
                <w:szCs w:val="24"/>
              </w:rPr>
              <w:t>制粒和冷却工段新增颗粒物依托已有的布袋除尘装置</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没有新增费用</w:t>
            </w:r>
            <w:r>
              <w:rPr>
                <w:rFonts w:hint="eastAsia" w:ascii="Times New Roman" w:hAnsi="Times New Roman" w:cs="Times New Roman"/>
                <w:sz w:val="24"/>
                <w:szCs w:val="24"/>
              </w:rPr>
              <w:t>。</w:t>
            </w:r>
            <w:r>
              <w:rPr>
                <w:rFonts w:ascii="Times New Roman" w:hAnsi="Times New Roman" w:cs="Times New Roman"/>
                <w:sz w:val="24"/>
                <w:szCs w:val="24"/>
              </w:rPr>
              <w:t>烟气除尘处理费用包括一次性投资费用及运行成本两部分。一次性投资费用主要为</w:t>
            </w:r>
            <w:r>
              <w:rPr>
                <w:rFonts w:hint="eastAsia" w:ascii="Times New Roman" w:hAnsi="Times New Roman" w:cs="Times New Roman"/>
                <w:sz w:val="24"/>
                <w:szCs w:val="24"/>
                <w:lang w:val="en-US" w:eastAsia="zh-CN"/>
              </w:rPr>
              <w:t>多管除尘装置、</w:t>
            </w:r>
            <w:r>
              <w:rPr>
                <w:rFonts w:ascii="Times New Roman" w:hAnsi="Times New Roman" w:cs="Times New Roman"/>
                <w:sz w:val="24"/>
                <w:szCs w:val="24"/>
              </w:rPr>
              <w:t>布袋除尘器装置、</w:t>
            </w:r>
            <w:r>
              <w:rPr>
                <w:rFonts w:hint="eastAsia" w:ascii="Times New Roman" w:hAnsi="Times New Roman" w:cs="Times New Roman"/>
                <w:sz w:val="24"/>
                <w:szCs w:val="24"/>
                <w:lang w:val="en-US" w:eastAsia="zh-CN"/>
              </w:rPr>
              <w:t>水膜除尘装置、</w:t>
            </w:r>
            <w:r>
              <w:rPr>
                <w:rFonts w:ascii="Times New Roman" w:hAnsi="Times New Roman" w:cs="Times New Roman"/>
                <w:sz w:val="24"/>
                <w:szCs w:val="24"/>
              </w:rPr>
              <w:t>风机、排气筒，购置和安装费12万；运行成本主要为电费，约100元/天，则3万元/a，运行成本低，经济可行。</w:t>
            </w:r>
          </w:p>
          <w:p>
            <w:pPr>
              <w:numPr>
                <w:ilvl w:val="0"/>
                <w:numId w:val="0"/>
              </w:numPr>
              <w:spacing w:line="360" w:lineRule="auto"/>
              <w:ind w:left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3、</w:t>
            </w:r>
            <w:r>
              <w:rPr>
                <w:rFonts w:hint="default" w:ascii="Times New Roman" w:hAnsi="Times New Roman" w:eastAsia="宋体" w:cs="Times New Roman"/>
                <w:color w:val="auto"/>
                <w:sz w:val="24"/>
                <w:lang w:bidi="ar"/>
              </w:rPr>
              <w:t>固废污染防治措施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（1）本项目固废产生情况及处置方式见下表。</w:t>
            </w:r>
          </w:p>
          <w:p>
            <w:pPr>
              <w:pStyle w:val="17"/>
              <w:spacing w:line="360" w:lineRule="auto"/>
              <w:jc w:val="center"/>
              <w:rPr>
                <w:rFonts w:ascii="Times New Roman" w:eastAsia="宋体" w:cs="Times New Roman"/>
                <w:b/>
                <w:bCs/>
                <w:color w:val="auto"/>
                <w:kern w:val="2"/>
                <w:szCs w:val="32"/>
              </w:rPr>
            </w:pPr>
            <w:r>
              <w:rPr>
                <w:rFonts w:ascii="Times New Roman" w:eastAsia="宋体" w:cs="Times New Roman"/>
                <w:b/>
                <w:bCs/>
                <w:color w:val="auto"/>
                <w:kern w:val="2"/>
                <w:szCs w:val="32"/>
              </w:rPr>
              <w:t>表5-</w:t>
            </w:r>
            <w:r>
              <w:rPr>
                <w:rFonts w:hint="eastAsia" w:ascii="Times New Roman" w:cs="Times New Roman"/>
                <w:b/>
                <w:bCs/>
                <w:color w:val="auto"/>
                <w:kern w:val="2"/>
                <w:szCs w:val="32"/>
                <w:lang w:val="en-US" w:eastAsia="zh-CN"/>
              </w:rPr>
              <w:t>6</w:t>
            </w:r>
            <w:r>
              <w:rPr>
                <w:rFonts w:ascii="Times New Roman" w:eastAsia="宋体" w:cs="Times New Roman"/>
                <w:b/>
                <w:bCs/>
                <w:color w:val="auto"/>
                <w:kern w:val="2"/>
                <w:szCs w:val="32"/>
              </w:rPr>
              <w:t xml:space="preserve"> 本项目固废产生情况及处置方式</w:t>
            </w:r>
          </w:p>
          <w:tbl>
            <w:tblPr>
              <w:tblStyle w:val="15"/>
              <w:tblW w:w="82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53"/>
              <w:gridCol w:w="754"/>
              <w:gridCol w:w="753"/>
              <w:gridCol w:w="753"/>
              <w:gridCol w:w="753"/>
              <w:gridCol w:w="754"/>
              <w:gridCol w:w="753"/>
              <w:gridCol w:w="753"/>
              <w:gridCol w:w="753"/>
              <w:gridCol w:w="75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75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固废名称</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属性</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产生工序</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形态</w:t>
                  </w:r>
                </w:p>
              </w:tc>
              <w:tc>
                <w:tcPr>
                  <w:tcW w:w="7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主要</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危险特性</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废物类别</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废物代码</w:t>
                  </w:r>
                </w:p>
              </w:tc>
              <w:tc>
                <w:tcPr>
                  <w:tcW w:w="75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估算产生量（t/a</w:t>
                  </w:r>
                  <w:r>
                    <w:rPr>
                      <w:rFonts w:hint="eastAsia" w:ascii="宋体" w:hAnsi="宋体" w:eastAsia="宋体" w:cs="宋体"/>
                      <w:i w:val="0"/>
                      <w:color w:val="000000"/>
                      <w:kern w:val="0"/>
                      <w:sz w:val="21"/>
                      <w:szCs w:val="21"/>
                      <w:u w:val="none"/>
                      <w:lang w:val="en-US" w:eastAsia="zh-CN" w:bidi="ar"/>
                    </w:rPr>
                    <w:t>）</w:t>
                  </w:r>
                </w:p>
              </w:tc>
              <w:tc>
                <w:tcPr>
                  <w:tcW w:w="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处理处置方式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成分</w:t>
                  </w: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4"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753" w:type="dxa"/>
                  <w:vMerge w:val="continue"/>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color w:val="auto"/>
                      <w:sz w:val="21"/>
                      <w:szCs w:val="21"/>
                      <w:lang w:val="en-US" w:eastAsia="zh-CN" w:bidi="ar"/>
                    </w:rPr>
                    <w:t>水膜除尘收集的粉尘</w:t>
                  </w: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sz w:val="21"/>
                      <w:szCs w:val="21"/>
                      <w:lang w:val="en-US" w:eastAsia="zh-CN"/>
                    </w:rPr>
                    <w:t>废气处理</w:t>
                  </w:r>
                </w:p>
              </w:tc>
              <w:tc>
                <w:tcPr>
                  <w:tcW w:w="753"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rPr>
                  </w:pPr>
                  <w:r>
                    <w:rPr>
                      <w:rFonts w:hint="eastAsia" w:cs="Times New Roman"/>
                      <w:color w:val="auto"/>
                      <w:lang w:val="en-US" w:eastAsia="zh-CN"/>
                    </w:rPr>
                    <w:t>生产</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固</w:t>
                  </w:r>
                </w:p>
              </w:tc>
              <w:tc>
                <w:tcPr>
                  <w:tcW w:w="754" w:type="dxa"/>
                  <w:shd w:val="clear" w:color="auto" w:fill="auto"/>
                  <w:tcMar>
                    <w:top w:w="15" w:type="dxa"/>
                    <w:left w:w="15" w:type="dxa"/>
                    <w:right w:w="15" w:type="dxa"/>
                  </w:tcMar>
                  <w:vAlign w:val="center"/>
                </w:tcPr>
                <w:p>
                  <w:pPr>
                    <w:pStyle w:val="23"/>
                    <w:widowControl/>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粉尘</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754"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1"/>
                      <w:szCs w:val="21"/>
                      <w:u w:val="none"/>
                      <w:lang w:val="en-US"/>
                    </w:rPr>
                  </w:pPr>
                  <w:r>
                    <w:rPr>
                      <w:rFonts w:hint="eastAsia" w:cs="Times New Roman"/>
                      <w:color w:val="auto"/>
                      <w:lang w:val="en-US" w:eastAsia="zh-CN"/>
                    </w:rPr>
                    <w:t>0.285</w:t>
                  </w:r>
                </w:p>
              </w:tc>
              <w:tc>
                <w:tcPr>
                  <w:tcW w:w="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2"/>
                      <w:szCs w:val="22"/>
                      <w:u w:val="none"/>
                      <w:lang w:val="en-US" w:eastAsia="zh-CN" w:bidi="ar"/>
                    </w:rPr>
                    <w:t>委外</w:t>
                  </w:r>
                  <w:r>
                    <w:rPr>
                      <w:rFonts w:hint="default" w:ascii="Times New Roman" w:hAnsi="Times New Roman" w:eastAsia="宋体" w:cs="Times New Roman"/>
                      <w:i w:val="0"/>
                      <w:color w:val="000000"/>
                      <w:kern w:val="0"/>
                      <w:sz w:val="21"/>
                      <w:szCs w:val="21"/>
                      <w:u w:val="none"/>
                      <w:lang w:val="en-US" w:eastAsia="zh-CN" w:bidi="ar"/>
                    </w:rPr>
                    <w:t>综合利用</w:t>
                  </w:r>
                </w:p>
              </w:tc>
            </w:tr>
          </w:tbl>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本项目设置</w:t>
            </w:r>
            <w:r>
              <w:rPr>
                <w:rFonts w:hint="eastAsia" w:ascii="Times New Roman" w:hAnsi="Times New Roman" w:eastAsia="宋体" w:cs="Times New Roman"/>
                <w:color w:val="auto"/>
                <w:sz w:val="24"/>
                <w:lang w:val="en-US" w:eastAsia="zh-CN" w:bidi="ar"/>
              </w:rPr>
              <w:t>1</w:t>
            </w:r>
            <w:r>
              <w:rPr>
                <w:rFonts w:hint="default" w:ascii="Times New Roman" w:hAnsi="Times New Roman" w:eastAsia="宋体" w:cs="Times New Roman"/>
                <w:color w:val="auto"/>
                <w:sz w:val="24"/>
                <w:lang w:bidi="ar"/>
              </w:rPr>
              <w:t>个一般工业固废仓库，占地面积</w:t>
            </w:r>
            <w:r>
              <w:rPr>
                <w:rFonts w:hint="eastAsia" w:ascii="Times New Roman" w:hAnsi="Times New Roman" w:eastAsia="宋体" w:cs="Times New Roman"/>
                <w:color w:val="auto"/>
                <w:sz w:val="24"/>
                <w:lang w:val="en-US" w:eastAsia="zh-CN" w:bidi="ar"/>
              </w:rPr>
              <w:t>2</w:t>
            </w:r>
            <w:r>
              <w:rPr>
                <w:rFonts w:hint="default" w:ascii="Times New Roman" w:hAnsi="Times New Roman" w:eastAsia="宋体" w:cs="Times New Roman"/>
                <w:color w:val="auto"/>
                <w:sz w:val="24"/>
                <w:lang w:bidi="ar"/>
              </w:rPr>
              <w:t>0m</w:t>
            </w:r>
            <w:r>
              <w:rPr>
                <w:rFonts w:hint="default" w:ascii="Times New Roman" w:hAnsi="Times New Roman" w:eastAsia="宋体" w:cs="Times New Roman"/>
                <w:color w:val="auto"/>
                <w:sz w:val="24"/>
                <w:vertAlign w:val="superscript"/>
                <w:lang w:bidi="ar"/>
              </w:rPr>
              <w:t>2</w:t>
            </w:r>
            <w:r>
              <w:rPr>
                <w:rFonts w:hint="default" w:ascii="Times New Roman" w:hAnsi="Times New Roman" w:eastAsia="宋体" w:cs="Times New Roman"/>
                <w:color w:val="auto"/>
                <w:sz w:val="24"/>
                <w:lang w:bidi="ar"/>
              </w:rPr>
              <w:t>，用于堆放一般工业固废。一般工业固废的暂存场所需按照《一般工业固体废物贮存、处置污染控制标准》（GB18599-2001）、《关于发布〈一般工业固体废物贮存、处置场污染控制标准〉（GB18599-2001）等3项国家污染物控制标准修改单的公告》中修改单要求建设。</w:t>
            </w:r>
          </w:p>
          <w:p>
            <w:pPr>
              <w:pStyle w:val="17"/>
              <w:widowControl/>
              <w:spacing w:line="360" w:lineRule="auto"/>
              <w:ind w:firstLine="480" w:firstLineChars="200"/>
              <w:rPr>
                <w:rFonts w:hint="default"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w:t>
            </w:r>
            <w:r>
              <w:rPr>
                <w:rFonts w:hint="default" w:ascii="Times New Roman" w:hAnsi="Times New Roman" w:cs="Times New Roman"/>
                <w:color w:val="auto"/>
              </w:rPr>
              <w:t>固体废物的处置方式及去向</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本项目固体废物利用处置方式见下表。</w:t>
            </w:r>
          </w:p>
          <w:p>
            <w:pPr>
              <w:pStyle w:val="26"/>
              <w:widowControl/>
              <w:ind w:firstLine="480"/>
              <w:rPr>
                <w:rFonts w:hint="default" w:ascii="Times New Roman" w:hAnsi="Times New Roman" w:cs="Times New Roman"/>
                <w:color w:val="auto"/>
              </w:rPr>
            </w:pPr>
            <w:r>
              <w:rPr>
                <w:rFonts w:hint="default" w:ascii="Times New Roman" w:hAnsi="Times New Roman" w:cs="Times New Roman"/>
                <w:color w:val="auto"/>
              </w:rPr>
              <w:t>表5-</w:t>
            </w:r>
            <w:r>
              <w:rPr>
                <w:rFonts w:hint="eastAsia" w:cs="Times New Roman"/>
                <w:color w:val="auto"/>
                <w:lang w:val="en-US" w:eastAsia="zh-CN"/>
              </w:rPr>
              <w:t>7</w:t>
            </w:r>
            <w:r>
              <w:rPr>
                <w:rFonts w:hint="default" w:ascii="Times New Roman" w:hAnsi="Times New Roman" w:cs="Times New Roman"/>
                <w:color w:val="auto"/>
              </w:rPr>
              <w:t>建设项目固体废物利用处置方式</w:t>
            </w:r>
          </w:p>
          <w:tbl>
            <w:tblPr>
              <w:tblStyle w:val="15"/>
              <w:tblW w:w="835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
              <w:gridCol w:w="1086"/>
              <w:gridCol w:w="1036"/>
              <w:gridCol w:w="1035"/>
              <w:gridCol w:w="1036"/>
              <w:gridCol w:w="2072"/>
              <w:gridCol w:w="10"/>
              <w:gridCol w:w="1025"/>
              <w:gridCol w:w="10"/>
              <w:gridCol w:w="102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Before w:val="1"/>
                <w:wBefore w:w="10" w:type="dxa"/>
                <w:trHeight w:val="525" w:hRule="atLeast"/>
              </w:trPr>
              <w:tc>
                <w:tcPr>
                  <w:tcW w:w="10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固废名称</w:t>
                  </w:r>
                </w:p>
              </w:tc>
              <w:tc>
                <w:tcPr>
                  <w:tcW w:w="1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产生工序</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属性</w:t>
                  </w:r>
                </w:p>
              </w:tc>
              <w:tc>
                <w:tcPr>
                  <w:tcW w:w="2082" w:type="dxa"/>
                  <w:gridSpan w:val="2"/>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废物代码</w:t>
                  </w:r>
                </w:p>
              </w:tc>
              <w:tc>
                <w:tcPr>
                  <w:tcW w:w="103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产生量（吨/年）</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10" w:type="dxa"/>
                <w:trHeight w:val="270" w:hRule="atLeast"/>
              </w:trPr>
              <w:tc>
                <w:tcPr>
                  <w:tcW w:w="109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kern w:val="0"/>
                      <w:sz w:val="22"/>
                      <w:szCs w:val="22"/>
                      <w:u w:val="none"/>
                      <w:lang w:val="en-US" w:eastAsia="zh-CN" w:bidi="ar"/>
                    </w:rPr>
                    <w:t>1</w:t>
                  </w:r>
                </w:p>
              </w:tc>
              <w:tc>
                <w:tcPr>
                  <w:tcW w:w="1036"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color w:val="auto"/>
                      <w:sz w:val="21"/>
                      <w:szCs w:val="21"/>
                      <w:lang w:val="en-US" w:eastAsia="zh-CN" w:bidi="ar"/>
                    </w:rPr>
                    <w:t>水膜除尘收集的粉尘</w:t>
                  </w:r>
                </w:p>
              </w:tc>
              <w:tc>
                <w:tcPr>
                  <w:tcW w:w="1035" w:type="dxa"/>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rPr>
                  </w:pPr>
                  <w:r>
                    <w:rPr>
                      <w:rFonts w:hint="eastAsia" w:cs="Times New Roman"/>
                      <w:color w:val="auto"/>
                      <w:sz w:val="21"/>
                      <w:szCs w:val="21"/>
                      <w:lang w:val="en-US" w:eastAsia="zh-CN"/>
                    </w:rPr>
                    <w:t>废气处理</w:t>
                  </w:r>
                </w:p>
              </w:tc>
              <w:tc>
                <w:tcPr>
                  <w:tcW w:w="10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一般固废</w:t>
                  </w:r>
                </w:p>
              </w:tc>
              <w:tc>
                <w:tcPr>
                  <w:tcW w:w="2072" w:type="dxa"/>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p>
              </w:tc>
              <w:tc>
                <w:tcPr>
                  <w:tcW w:w="1035" w:type="dxa"/>
                  <w:gridSpan w:val="2"/>
                  <w:shd w:val="clear" w:color="auto" w:fill="auto"/>
                  <w:tcMar>
                    <w:top w:w="15" w:type="dxa"/>
                    <w:left w:w="15" w:type="dxa"/>
                    <w:right w:w="15" w:type="dxa"/>
                  </w:tcMar>
                  <w:vAlign w:val="center"/>
                </w:tcPr>
                <w:p>
                  <w:pPr>
                    <w:pStyle w:val="23"/>
                    <w:widowControl/>
                    <w:rPr>
                      <w:rFonts w:hint="default" w:ascii="Times New Roman" w:hAnsi="Times New Roman" w:eastAsia="宋体" w:cs="Times New Roman"/>
                      <w:i w:val="0"/>
                      <w:color w:val="000000"/>
                      <w:sz w:val="22"/>
                      <w:szCs w:val="22"/>
                      <w:u w:val="none"/>
                      <w:lang w:val="en-US"/>
                    </w:rPr>
                  </w:pPr>
                  <w:r>
                    <w:rPr>
                      <w:rFonts w:hint="eastAsia" w:cs="Times New Roman"/>
                      <w:color w:val="auto"/>
                      <w:lang w:val="en-US" w:eastAsia="zh-CN"/>
                    </w:rPr>
                    <w:t>0.285</w:t>
                  </w:r>
                </w:p>
              </w:tc>
              <w:tc>
                <w:tcPr>
                  <w:tcW w:w="103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委外综合利用</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通过采取上述措施后，固体废物收集、综合处置率可达100%，不直接排放，不造成二次污染。</w:t>
            </w:r>
          </w:p>
          <w:p>
            <w:pPr>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4</w:t>
            </w:r>
            <w:r>
              <w:rPr>
                <w:rFonts w:hint="default" w:ascii="Times New Roman" w:hAnsi="Times New Roman" w:eastAsia="宋体" w:cs="Times New Roman"/>
                <w:color w:val="auto"/>
                <w:sz w:val="24"/>
                <w:lang w:bidi="ar"/>
              </w:rPr>
              <w:t>、噪声污染防治措施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本项目生产设备位于洁净厂房内，项目的噪声源主要为</w:t>
            </w:r>
            <w:r>
              <w:rPr>
                <w:rFonts w:hint="eastAsia" w:ascii="Times New Roman" w:hAnsi="Times New Roman" w:eastAsia="宋体" w:cs="Times New Roman"/>
                <w:color w:val="auto"/>
                <w:sz w:val="24"/>
                <w:lang w:val="en-US" w:eastAsia="zh-CN" w:bidi="ar"/>
              </w:rPr>
              <w:t>烘干机、热风炉、风机</w:t>
            </w:r>
            <w:r>
              <w:rPr>
                <w:rFonts w:hint="default" w:ascii="Times New Roman" w:hAnsi="Times New Roman" w:eastAsia="宋体" w:cs="Times New Roman"/>
                <w:color w:val="auto"/>
                <w:sz w:val="24"/>
                <w:lang w:val="en-US" w:eastAsia="zh-CN" w:bidi="ar"/>
              </w:rPr>
              <w:t>等</w:t>
            </w:r>
            <w:r>
              <w:rPr>
                <w:rFonts w:hint="default" w:ascii="Times New Roman" w:hAnsi="Times New Roman" w:eastAsia="宋体" w:cs="Times New Roman"/>
                <w:color w:val="auto"/>
                <w:sz w:val="24"/>
                <w:lang w:bidi="ar"/>
              </w:rPr>
              <w:t>设备。为降低噪声、改善环境质量，建设单位拟采取隔声、减振等防治措施。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（1）采购设备时应选用低噪声种类。</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（2）合理规划设备布局，高噪声设备应远离厂界及声环境敏感保护目标。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（3）保证设备处于良好的运转状态，并对主要噪声设备进一步采取减震（减震垫）、墙体隔声等降噪措施，确保噪声达标排放。</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（4）通过厂内绿化削减厂界噪声排放，减轻噪声对周围环境的影响。</w:t>
            </w:r>
          </w:p>
          <w:p>
            <w:pPr>
              <w:spacing w:line="360" w:lineRule="auto"/>
              <w:ind w:firstLine="480" w:firstLineChars="200"/>
              <w:jc w:val="left"/>
              <w:outlineLvl w:val="0"/>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bidi="ar"/>
              </w:rPr>
              <w:t>5</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三</w:t>
            </w:r>
            <w:r>
              <w:rPr>
                <w:rFonts w:ascii="Times New Roman" w:hAnsi="Times New Roman" w:eastAsia="宋体" w:cs="Times New Roman"/>
                <w:color w:val="auto"/>
                <w:sz w:val="24"/>
                <w:lang w:bidi="ar"/>
              </w:rPr>
              <w:t>本账</w:t>
            </w:r>
            <w:r>
              <w:rPr>
                <w:rFonts w:hint="eastAsia" w:ascii="Times New Roman" w:hAnsi="Times New Roman" w:eastAsia="宋体" w:cs="Times New Roman"/>
                <w:color w:val="auto"/>
                <w:sz w:val="24"/>
                <w:lang w:bidi="ar"/>
              </w:rPr>
              <w:t>”</w:t>
            </w:r>
          </w:p>
          <w:p>
            <w:pPr>
              <w:adjustRightInd w:val="0"/>
              <w:snapToGrid w:val="0"/>
              <w:spacing w:line="360" w:lineRule="auto"/>
              <w:ind w:firstLine="480" w:firstLineChars="200"/>
              <w:jc w:val="left"/>
              <w:outlineLvl w:val="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本</w:t>
            </w:r>
            <w:r>
              <w:rPr>
                <w:rFonts w:hint="eastAsia" w:ascii="Times New Roman" w:hAnsi="Times New Roman" w:eastAsia="宋体" w:cs="Times New Roman"/>
                <w:color w:val="auto"/>
                <w:sz w:val="24"/>
                <w:lang w:val="en-US" w:eastAsia="zh-CN" w:bidi="ar"/>
              </w:rPr>
              <w:t>项目建成后全厂</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三</w:t>
            </w:r>
            <w:r>
              <w:rPr>
                <w:rFonts w:ascii="Times New Roman" w:hAnsi="Times New Roman" w:eastAsia="宋体" w:cs="Times New Roman"/>
                <w:color w:val="auto"/>
                <w:sz w:val="24"/>
                <w:lang w:bidi="ar"/>
              </w:rPr>
              <w:t>本账</w:t>
            </w:r>
            <w:r>
              <w:rPr>
                <w:rFonts w:hint="eastAsia" w:ascii="Times New Roman" w:hAnsi="Times New Roman" w:eastAsia="宋体" w:cs="Times New Roman"/>
                <w:color w:val="auto"/>
                <w:sz w:val="24"/>
                <w:lang w:bidi="ar"/>
              </w:rPr>
              <w:t>”</w:t>
            </w:r>
            <w:r>
              <w:rPr>
                <w:rFonts w:ascii="Times New Roman" w:hAnsi="Times New Roman" w:eastAsia="宋体" w:cs="Times New Roman"/>
                <w:color w:val="auto"/>
                <w:sz w:val="24"/>
                <w:lang w:bidi="ar"/>
              </w:rPr>
              <w:t>见表5-</w:t>
            </w:r>
            <w:r>
              <w:rPr>
                <w:rFonts w:hint="eastAsia" w:ascii="Times New Roman" w:hAnsi="Times New Roman" w:eastAsia="宋体" w:cs="Times New Roman"/>
                <w:color w:val="auto"/>
                <w:sz w:val="24"/>
                <w:lang w:val="en-US" w:eastAsia="zh-CN" w:bidi="ar"/>
              </w:rPr>
              <w:t>8</w:t>
            </w:r>
            <w:r>
              <w:rPr>
                <w:rFonts w:ascii="Times New Roman" w:hAnsi="Times New Roman" w:eastAsia="宋体" w:cs="Times New Roman"/>
                <w:color w:val="auto"/>
                <w:sz w:val="24"/>
                <w:lang w:bidi="ar"/>
              </w:rPr>
              <w:t>。</w:t>
            </w:r>
          </w:p>
          <w:p>
            <w:pPr>
              <w:pStyle w:val="3"/>
              <w:keepNext w:val="0"/>
              <w:keepLines w:val="0"/>
              <w:pageBreakBefore w:val="0"/>
              <w:widowControl/>
              <w:kinsoku/>
              <w:wordWrap/>
              <w:overflowPunct/>
              <w:topLinePunct w:val="0"/>
              <w:autoSpaceDE/>
              <w:autoSpaceDN/>
              <w:bidi w:val="0"/>
              <w:adjustRightInd w:val="0"/>
              <w:snapToGrid w:val="0"/>
              <w:spacing w:before="0" w:afterAutospacing="0" w:line="360" w:lineRule="auto"/>
              <w:ind w:firstLine="482"/>
              <w:textAlignment w:val="auto"/>
              <w:rPr>
                <w:color w:val="auto"/>
              </w:rPr>
            </w:pPr>
            <w:bookmarkStart w:id="2" w:name="_Ref477449005"/>
            <w:r>
              <w:rPr>
                <w:color w:val="auto"/>
              </w:rPr>
              <w:t>表</w:t>
            </w:r>
            <w:bookmarkEnd w:id="2"/>
            <w:r>
              <w:rPr>
                <w:color w:val="auto"/>
              </w:rPr>
              <w:t>5-</w:t>
            </w:r>
            <w:r>
              <w:rPr>
                <w:rFonts w:hint="eastAsia"/>
                <w:color w:val="auto"/>
                <w:lang w:val="en-US" w:eastAsia="zh-CN"/>
              </w:rPr>
              <w:t>8</w:t>
            </w:r>
            <w:r>
              <w:rPr>
                <w:color w:val="auto"/>
              </w:rPr>
              <w:t xml:space="preserve"> </w:t>
            </w:r>
            <w:r>
              <w:rPr>
                <w:rFonts w:ascii="Times New Roman" w:hAnsi="Times New Roman" w:eastAsia="宋体" w:cs="Times New Roman"/>
                <w:color w:val="auto"/>
                <w:sz w:val="24"/>
                <w:lang w:bidi="ar"/>
              </w:rPr>
              <w:t>本</w:t>
            </w:r>
            <w:r>
              <w:rPr>
                <w:rFonts w:hint="eastAsia" w:ascii="Times New Roman" w:hAnsi="Times New Roman" w:eastAsia="宋体" w:cs="Times New Roman"/>
                <w:color w:val="auto"/>
                <w:sz w:val="24"/>
                <w:lang w:val="en-US" w:eastAsia="zh-CN" w:bidi="ar"/>
              </w:rPr>
              <w:t>项目建成后全厂</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三</w:t>
            </w:r>
            <w:r>
              <w:rPr>
                <w:rFonts w:ascii="Times New Roman" w:hAnsi="Times New Roman" w:eastAsia="宋体" w:cs="Times New Roman"/>
                <w:color w:val="auto"/>
                <w:sz w:val="24"/>
                <w:lang w:bidi="ar"/>
              </w:rPr>
              <w:t>本账</w:t>
            </w:r>
            <w:r>
              <w:rPr>
                <w:rFonts w:hint="eastAsia" w:ascii="Times New Roman" w:hAnsi="Times New Roman" w:eastAsia="宋体" w:cs="Times New Roman"/>
                <w:color w:val="auto"/>
                <w:sz w:val="24"/>
                <w:lang w:bidi="ar"/>
              </w:rPr>
              <w:t>”</w:t>
            </w:r>
            <w:r>
              <w:rPr>
                <w:color w:val="auto"/>
              </w:rPr>
              <w:t xml:space="preserve">  </w:t>
            </w:r>
            <w:r>
              <w:rPr>
                <w:rFonts w:hint="eastAsia" w:ascii="宋体" w:hAnsi="宋体" w:cs="宋体"/>
                <w:color w:val="auto"/>
              </w:rPr>
              <w:t>（单位：</w:t>
            </w:r>
            <w:r>
              <w:rPr>
                <w:color w:val="auto"/>
              </w:rPr>
              <w:t>t/a</w:t>
            </w:r>
            <w:r>
              <w:rPr>
                <w:rFonts w:hint="eastAsia" w:ascii="宋体" w:hAnsi="宋体" w:cs="宋体"/>
                <w:color w:val="auto"/>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60"/>
              <w:gridCol w:w="1667"/>
              <w:gridCol w:w="1778"/>
              <w:gridCol w:w="183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污染物名称</w:t>
                  </w:r>
                </w:p>
              </w:tc>
              <w:tc>
                <w:tcPr>
                  <w:tcW w:w="5369" w:type="dxa"/>
                  <w:gridSpan w:val="3"/>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2927" w:type="dxa"/>
                  <w:gridSpan w:val="2"/>
                  <w:vMerge w:val="continue"/>
                  <w:vAlign w:val="center"/>
                </w:tcPr>
                <w:p>
                  <w:pPr>
                    <w:spacing w:line="240" w:lineRule="auto"/>
                    <w:ind w:firstLine="0" w:firstLineChars="0"/>
                    <w:jc w:val="center"/>
                    <w:rPr>
                      <w:rFonts w:hint="default" w:ascii="Times New Roman" w:hAnsi="Times New Roman" w:cs="Times New Roman"/>
                      <w:bCs/>
                      <w:color w:val="auto"/>
                      <w:sz w:val="21"/>
                      <w:szCs w:val="21"/>
                    </w:rPr>
                  </w:pP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产生量</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削减量</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restart"/>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有组织废气</w:t>
                  </w: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p>
              </w:tc>
              <w:tc>
                <w:tcPr>
                  <w:tcW w:w="177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w:t>
                  </w:r>
                </w:p>
              </w:tc>
              <w:tc>
                <w:tcPr>
                  <w:tcW w:w="1758" w:type="dxa"/>
                  <w:vAlign w:val="center"/>
                </w:tcPr>
                <w:p>
                  <w:pPr>
                    <w:keepNext w:val="0"/>
                    <w:keepLines w:val="0"/>
                    <w:widowControl/>
                    <w:suppressLineNumbers w:val="0"/>
                    <w:jc w:val="center"/>
                    <w:textAlignment w:val="center"/>
                    <w:rPr>
                      <w:rFonts w:hint="default" w:ascii="Times New Roman" w:hAnsi="Times New Roman" w:cs="Times New Roman"/>
                      <w:bCs/>
                      <w:color w:val="auto"/>
                      <w:sz w:val="21"/>
                      <w:szCs w:val="21"/>
                    </w:rPr>
                  </w:pP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Merge w:val="continue"/>
                  <w:vAlign w:val="center"/>
                </w:tcPr>
                <w:p>
                  <w:pPr>
                    <w:widowControl/>
                    <w:spacing w:line="240" w:lineRule="auto"/>
                    <w:ind w:firstLine="0" w:firstLineChars="0"/>
                    <w:jc w:val="center"/>
                    <w:textAlignment w:val="center"/>
                    <w:rPr>
                      <w:rFonts w:hint="default" w:ascii="Times New Roman" w:hAnsi="Times New Roman" w:cs="Times New Roman"/>
                      <w:bCs/>
                      <w:color w:val="auto"/>
                      <w:kern w:val="0"/>
                      <w:sz w:val="21"/>
                      <w:szCs w:val="21"/>
                      <w:lang w:bidi="ar"/>
                    </w:rPr>
                  </w:pP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颗粒物</w:t>
                  </w:r>
                </w:p>
              </w:tc>
              <w:tc>
                <w:tcPr>
                  <w:tcW w:w="1778" w:type="dxa"/>
                  <w:vAlign w:val="center"/>
                </w:tcPr>
                <w:p>
                  <w:pPr>
                    <w:keepNext w:val="0"/>
                    <w:keepLines w:val="0"/>
                    <w:widowControl/>
                    <w:suppressLineNumbers w:val="0"/>
                    <w:jc w:val="center"/>
                    <w:textAlignment w:val="center"/>
                    <w:rPr>
                      <w:rFonts w:hint="eastAsia"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0.3</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0.285</w:t>
                  </w:r>
                </w:p>
              </w:tc>
              <w:tc>
                <w:tcPr>
                  <w:tcW w:w="1758" w:type="dxa"/>
                  <w:vAlign w:val="center"/>
                </w:tcPr>
                <w:p>
                  <w:pPr>
                    <w:keepNext w:val="0"/>
                    <w:keepLines w:val="0"/>
                    <w:widowControl/>
                    <w:suppressLineNumbers w:val="0"/>
                    <w:jc w:val="center"/>
                    <w:textAlignment w:val="center"/>
                    <w:rPr>
                      <w:rFonts w:hint="eastAsia" w:ascii="Times New Roman" w:hAnsi="Times New Roman" w:cs="Times New Roman" w:eastAsiaTheme="minorEastAsia"/>
                      <w:bCs/>
                      <w:color w:val="auto"/>
                      <w:kern w:val="0"/>
                      <w:sz w:val="21"/>
                      <w:szCs w:val="21"/>
                      <w:lang w:val="en-US" w:eastAsia="zh-CN" w:bidi="ar"/>
                    </w:rPr>
                  </w:pPr>
                  <w:r>
                    <w:rPr>
                      <w:rFonts w:hint="eastAsia" w:ascii="Times New Roman" w:hAnsi="Times New Roman" w:cs="Times New Roman"/>
                      <w:bCs/>
                      <w:color w:val="auto"/>
                      <w:kern w:val="0"/>
                      <w:sz w:val="21"/>
                      <w:szCs w:val="21"/>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260"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无组织废气</w:t>
                  </w:r>
                </w:p>
              </w:tc>
              <w:tc>
                <w:tcPr>
                  <w:tcW w:w="1667"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kern w:val="0"/>
                      <w:szCs w:val="21"/>
                      <w:lang w:val="en-US" w:eastAsia="zh-CN"/>
                    </w:rPr>
                    <w:t>颗粒物</w:t>
                  </w:r>
                </w:p>
              </w:tc>
              <w:tc>
                <w:tcPr>
                  <w:tcW w:w="1778" w:type="dxa"/>
                  <w:vAlign w:val="center"/>
                </w:tcPr>
                <w:p>
                  <w:pPr>
                    <w:keepNext w:val="0"/>
                    <w:keepLines w:val="0"/>
                    <w:widowControl/>
                    <w:suppressLineNumbers w:val="0"/>
                    <w:jc w:val="center"/>
                    <w:textAlignment w:val="center"/>
                    <w:rPr>
                      <w:rFonts w:hint="eastAsia"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2</w:t>
                  </w:r>
                </w:p>
              </w:tc>
              <w:tc>
                <w:tcPr>
                  <w:tcW w:w="1833"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kern w:val="0"/>
                      <w:sz w:val="21"/>
                      <w:szCs w:val="21"/>
                      <w:lang w:val="en-US" w:eastAsia="zh-CN" w:bidi="ar"/>
                    </w:rPr>
                    <w:t>1.9</w:t>
                  </w:r>
                </w:p>
              </w:tc>
              <w:tc>
                <w:tcPr>
                  <w:tcW w:w="1758" w:type="dxa"/>
                  <w:vAlign w:val="center"/>
                </w:tcPr>
                <w:p>
                  <w:pPr>
                    <w:keepNext w:val="0"/>
                    <w:keepLines w:val="0"/>
                    <w:widowControl/>
                    <w:suppressLineNumbers w:val="0"/>
                    <w:jc w:val="center"/>
                    <w:textAlignment w:val="center"/>
                    <w:rPr>
                      <w:rFonts w:hint="eastAsia" w:ascii="Times New Roman" w:hAnsi="Times New Roman" w:cs="Times New Roman" w:eastAsiaTheme="minorEastAsia"/>
                      <w:bCs/>
                      <w:color w:val="auto"/>
                      <w:sz w:val="21"/>
                      <w:szCs w:val="21"/>
                      <w:lang w:val="en-US" w:eastAsia="zh-CN"/>
                    </w:rPr>
                  </w:pPr>
                  <w:r>
                    <w:rPr>
                      <w:rFonts w:hint="eastAsia" w:ascii="Times New Roman" w:hAnsi="Times New Roman" w:cs="Times New Roman"/>
                      <w:bCs/>
                      <w:color w:val="auto"/>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927" w:type="dxa"/>
                  <w:gridSpan w:val="2"/>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一般固废</w:t>
                  </w:r>
                </w:p>
              </w:tc>
              <w:tc>
                <w:tcPr>
                  <w:tcW w:w="1778" w:type="dxa"/>
                  <w:vAlign w:val="center"/>
                </w:tcPr>
                <w:p>
                  <w:pPr>
                    <w:widowControl/>
                    <w:spacing w:line="24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szCs w:val="21"/>
                      <w:lang w:val="en-US" w:eastAsia="zh-CN"/>
                    </w:rPr>
                    <w:t>0.285</w:t>
                  </w:r>
                </w:p>
              </w:tc>
              <w:tc>
                <w:tcPr>
                  <w:tcW w:w="1833"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eastAsia" w:ascii="Times New Roman" w:hAnsi="Times New Roman" w:cs="Times New Roman"/>
                      <w:szCs w:val="21"/>
                      <w:lang w:val="en-US" w:eastAsia="zh-CN"/>
                    </w:rPr>
                    <w:t>0.285</w:t>
                  </w:r>
                </w:p>
              </w:tc>
              <w:tc>
                <w:tcPr>
                  <w:tcW w:w="1758" w:type="dxa"/>
                  <w:vAlign w:val="center"/>
                </w:tcPr>
                <w:p>
                  <w:pPr>
                    <w:widowControl/>
                    <w:spacing w:line="240" w:lineRule="auto"/>
                    <w:ind w:firstLine="0" w:firstLineChars="0"/>
                    <w:jc w:val="center"/>
                    <w:textAlignment w:val="center"/>
                    <w:rPr>
                      <w:rFonts w:hint="default" w:ascii="Times New Roman" w:hAnsi="Times New Roman" w:cs="Times New Roman"/>
                      <w:bCs/>
                      <w:color w:val="auto"/>
                      <w:sz w:val="21"/>
                      <w:szCs w:val="21"/>
                    </w:rPr>
                  </w:pPr>
                  <w:r>
                    <w:rPr>
                      <w:rFonts w:hint="default" w:ascii="Times New Roman" w:hAnsi="Times New Roman" w:cs="Times New Roman"/>
                      <w:bCs/>
                      <w:color w:val="auto"/>
                      <w:kern w:val="0"/>
                      <w:sz w:val="21"/>
                      <w:szCs w:val="21"/>
                      <w:lang w:bidi="ar"/>
                    </w:rPr>
                    <w:t>0</w:t>
                  </w:r>
                </w:p>
              </w:tc>
            </w:tr>
          </w:tbl>
          <w:p>
            <w:pPr>
              <w:pStyle w:val="17"/>
              <w:rPr>
                <w:vertAlign w:val="baseline"/>
              </w:rPr>
            </w:pPr>
          </w:p>
        </w:tc>
      </w:tr>
    </w:tbl>
    <w:p>
      <w:pPr>
        <w:pStyle w:val="17"/>
        <w:sectPr>
          <w:pgSz w:w="11906" w:h="16838"/>
          <w:pgMar w:top="1440" w:right="1800" w:bottom="1440" w:left="1800" w:header="851" w:footer="992" w:gutter="0"/>
          <w:pgNumType w:fmt="decimal"/>
          <w:cols w:space="425" w:num="1"/>
          <w:docGrid w:type="lines" w:linePitch="312" w:charSpace="0"/>
        </w:sectPr>
      </w:pPr>
    </w:p>
    <w:p>
      <w:pPr>
        <w:spacing w:line="360" w:lineRule="auto"/>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建设项目主要污染物产生及预计排放情况</w:t>
      </w:r>
    </w:p>
    <w:tbl>
      <w:tblPr>
        <w:tblStyle w:val="15"/>
        <w:tblW w:w="87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36"/>
        <w:gridCol w:w="425"/>
        <w:gridCol w:w="992"/>
        <w:gridCol w:w="1418"/>
        <w:gridCol w:w="2551"/>
        <w:gridCol w:w="2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71" w:hRule="atLeast"/>
          <w:jc w:val="center"/>
        </w:trPr>
        <w:tc>
          <w:tcPr>
            <w:tcW w:w="836" w:type="dxa"/>
            <w:vAlign w:val="center"/>
          </w:tcPr>
          <w:p>
            <w:pPr>
              <w:jc w:val="center"/>
              <w:rPr>
                <w:rFonts w:ascii="Times New Roman" w:hAnsi="Times New Roman" w:cs="Times New Roman"/>
                <w:b/>
                <w:szCs w:val="21"/>
              </w:rPr>
            </w:pPr>
            <w:r>
              <w:rPr>
                <w:rFonts w:ascii="Times New Roman" w:hAnsi="Times New Roman" w:cs="Times New Roman"/>
                <w:b/>
                <w:szCs w:val="21"/>
              </w:rPr>
              <w:t>内容</w:t>
            </w:r>
          </w:p>
          <w:p>
            <w:pPr>
              <w:spacing w:before="156" w:beforeLines="50"/>
              <w:rPr>
                <w:rFonts w:ascii="Times New Roman" w:hAnsi="Times New Roman" w:cs="Times New Roman"/>
                <w:b/>
                <w:szCs w:val="21"/>
              </w:rPr>
            </w:pPr>
            <w:r>
              <w:rPr>
                <w:rFonts w:ascii="Times New Roman" w:hAnsi="Times New Roman" w:cs="Times New Roman"/>
                <w:b/>
                <w:szCs w:val="21"/>
              </w:rPr>
              <w:t>类型</w:t>
            </w:r>
          </w:p>
        </w:tc>
        <w:tc>
          <w:tcPr>
            <w:tcW w:w="1417" w:type="dxa"/>
            <w:gridSpan w:val="2"/>
            <w:vAlign w:val="center"/>
          </w:tcPr>
          <w:p>
            <w:pPr>
              <w:jc w:val="center"/>
              <w:rPr>
                <w:rFonts w:ascii="Times New Roman" w:hAnsi="Times New Roman" w:cs="Times New Roman"/>
                <w:b/>
                <w:szCs w:val="21"/>
              </w:rPr>
            </w:pPr>
            <w:r>
              <w:rPr>
                <w:rFonts w:ascii="Times New Roman" w:hAnsi="Times New Roman" w:cs="Times New Roman"/>
                <w:b/>
                <w:szCs w:val="21"/>
              </w:rPr>
              <w:t>排放源</w:t>
            </w:r>
          </w:p>
          <w:p>
            <w:pPr>
              <w:jc w:val="center"/>
              <w:rPr>
                <w:rFonts w:ascii="Times New Roman" w:hAnsi="Times New Roman" w:cs="Times New Roman"/>
                <w:b/>
                <w:szCs w:val="21"/>
              </w:rPr>
            </w:pPr>
            <w:r>
              <w:rPr>
                <w:rFonts w:ascii="Times New Roman" w:hAnsi="Times New Roman" w:cs="Times New Roman"/>
                <w:b/>
                <w:szCs w:val="21"/>
              </w:rPr>
              <w:t>（编号）</w:t>
            </w:r>
          </w:p>
        </w:tc>
        <w:tc>
          <w:tcPr>
            <w:tcW w:w="1418" w:type="dxa"/>
            <w:vAlign w:val="center"/>
          </w:tcPr>
          <w:p>
            <w:pPr>
              <w:jc w:val="center"/>
              <w:rPr>
                <w:rFonts w:ascii="Times New Roman" w:hAnsi="Times New Roman" w:cs="Times New Roman"/>
                <w:b/>
                <w:szCs w:val="21"/>
              </w:rPr>
            </w:pPr>
            <w:r>
              <w:rPr>
                <w:rFonts w:ascii="Times New Roman" w:hAnsi="Times New Roman" w:cs="Times New Roman"/>
                <w:b/>
                <w:szCs w:val="21"/>
              </w:rPr>
              <w:t>污染物</w:t>
            </w:r>
          </w:p>
          <w:p>
            <w:pPr>
              <w:jc w:val="center"/>
              <w:rPr>
                <w:rFonts w:ascii="Times New Roman" w:hAnsi="Times New Roman" w:cs="Times New Roman"/>
                <w:b/>
                <w:szCs w:val="21"/>
              </w:rPr>
            </w:pPr>
            <w:r>
              <w:rPr>
                <w:rFonts w:ascii="Times New Roman" w:hAnsi="Times New Roman" w:cs="Times New Roman"/>
                <w:b/>
                <w:szCs w:val="21"/>
              </w:rPr>
              <w:t>名称</w:t>
            </w:r>
          </w:p>
        </w:tc>
        <w:tc>
          <w:tcPr>
            <w:tcW w:w="2551" w:type="dxa"/>
            <w:vAlign w:val="center"/>
          </w:tcPr>
          <w:p>
            <w:pPr>
              <w:jc w:val="center"/>
              <w:rPr>
                <w:rFonts w:ascii="Times New Roman" w:hAnsi="Times New Roman" w:cs="Times New Roman"/>
                <w:b/>
                <w:szCs w:val="21"/>
              </w:rPr>
            </w:pPr>
            <w:r>
              <w:rPr>
                <w:rFonts w:ascii="Times New Roman" w:hAnsi="Times New Roman" w:cs="Times New Roman"/>
                <w:b/>
                <w:szCs w:val="21"/>
              </w:rPr>
              <w:t>处理前产生浓度及</w:t>
            </w:r>
          </w:p>
          <w:p>
            <w:pPr>
              <w:jc w:val="center"/>
              <w:rPr>
                <w:rFonts w:ascii="Times New Roman" w:hAnsi="Times New Roman" w:cs="Times New Roman"/>
                <w:b/>
                <w:szCs w:val="21"/>
              </w:rPr>
            </w:pPr>
            <w:r>
              <w:rPr>
                <w:rFonts w:ascii="Times New Roman" w:hAnsi="Times New Roman" w:cs="Times New Roman"/>
                <w:b/>
                <w:szCs w:val="21"/>
              </w:rPr>
              <w:t>产生量（单位）</w:t>
            </w:r>
          </w:p>
        </w:tc>
        <w:tc>
          <w:tcPr>
            <w:tcW w:w="2552" w:type="dxa"/>
            <w:vAlign w:val="center"/>
          </w:tcPr>
          <w:p>
            <w:pPr>
              <w:jc w:val="center"/>
              <w:rPr>
                <w:rFonts w:ascii="Times New Roman" w:hAnsi="Times New Roman" w:cs="Times New Roman"/>
                <w:b/>
                <w:szCs w:val="21"/>
              </w:rPr>
            </w:pPr>
            <w:r>
              <w:rPr>
                <w:rFonts w:ascii="Times New Roman" w:hAnsi="Times New Roman" w:cs="Times New Roman"/>
                <w:b/>
                <w:szCs w:val="21"/>
              </w:rPr>
              <w:t>排放浓度及排放量</w:t>
            </w:r>
          </w:p>
          <w:p>
            <w:pPr>
              <w:jc w:val="center"/>
              <w:rPr>
                <w:rFonts w:ascii="Times New Roman" w:hAnsi="Times New Roman" w:cs="Times New Roman"/>
                <w:b/>
                <w:szCs w:val="21"/>
              </w:rPr>
            </w:pPr>
            <w:r>
              <w:rPr>
                <w:rFonts w:ascii="Times New Roman" w:hAnsi="Times New Roman" w:cs="Times New Roman"/>
                <w:b/>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5" w:hRule="atLeast"/>
          <w:jc w:val="center"/>
        </w:trPr>
        <w:tc>
          <w:tcPr>
            <w:tcW w:w="836" w:type="dxa"/>
            <w:vMerge w:val="restart"/>
            <w:vAlign w:val="center"/>
          </w:tcPr>
          <w:p>
            <w:pPr>
              <w:jc w:val="center"/>
              <w:rPr>
                <w:rFonts w:ascii="Times New Roman" w:hAnsi="Times New Roman" w:cs="Times New Roman"/>
                <w:szCs w:val="21"/>
              </w:rPr>
            </w:pPr>
            <w:r>
              <w:rPr>
                <w:rFonts w:ascii="Times New Roman" w:hAnsi="Times New Roman" w:cs="Times New Roman"/>
                <w:szCs w:val="21"/>
              </w:rPr>
              <w:t>大气</w:t>
            </w:r>
          </w:p>
          <w:p>
            <w:pPr>
              <w:jc w:val="center"/>
              <w:rPr>
                <w:rFonts w:ascii="Times New Roman" w:hAnsi="Times New Roman" w:cs="Times New Roman"/>
                <w:szCs w:val="21"/>
              </w:rPr>
            </w:pPr>
            <w:r>
              <w:rPr>
                <w:rFonts w:ascii="Times New Roman" w:hAnsi="Times New Roman" w:cs="Times New Roman"/>
                <w:szCs w:val="21"/>
              </w:rPr>
              <w:t>污染</w:t>
            </w:r>
          </w:p>
          <w:p>
            <w:pPr>
              <w:jc w:val="center"/>
              <w:rPr>
                <w:rFonts w:ascii="Times New Roman" w:hAnsi="Times New Roman" w:cs="Times New Roman"/>
                <w:szCs w:val="21"/>
              </w:rPr>
            </w:pPr>
            <w:r>
              <w:rPr>
                <w:rFonts w:ascii="Times New Roman" w:hAnsi="Times New Roman" w:cs="Times New Roman"/>
                <w:szCs w:val="21"/>
              </w:rPr>
              <w:t>物</w:t>
            </w:r>
          </w:p>
        </w:tc>
        <w:tc>
          <w:tcPr>
            <w:tcW w:w="425" w:type="dxa"/>
            <w:vMerge w:val="restart"/>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1</w:t>
            </w:r>
            <w:r>
              <w:rPr>
                <w:rFonts w:ascii="Times New Roman" w:hAnsi="Times New Roman" w:cs="Times New Roman"/>
                <w:szCs w:val="21"/>
              </w:rPr>
              <w:t>#</w:t>
            </w:r>
          </w:p>
        </w:tc>
        <w:tc>
          <w:tcPr>
            <w:tcW w:w="992" w:type="dxa"/>
            <w:vMerge w:val="restart"/>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燃烧</w:t>
            </w:r>
            <w:r>
              <w:rPr>
                <w:rFonts w:ascii="Times New Roman" w:hAnsi="Times New Roman" w:cs="Times New Roman"/>
                <w:szCs w:val="21"/>
              </w:rPr>
              <w:t>烟气</w:t>
            </w:r>
            <w:r>
              <w:rPr>
                <w:rFonts w:ascii="Times New Roman" w:hAnsi="Times New Roman" w:cs="Times New Roman"/>
                <w:kern w:val="0"/>
                <w:szCs w:val="21"/>
              </w:rPr>
              <w:t>G1</w:t>
            </w:r>
          </w:p>
        </w:tc>
        <w:tc>
          <w:tcPr>
            <w:tcW w:w="1418" w:type="dxa"/>
            <w:vAlign w:val="center"/>
          </w:tcPr>
          <w:p>
            <w:pPr>
              <w:adjustRightInd w:val="0"/>
              <w:snapToGrid w:val="0"/>
              <w:jc w:val="center"/>
              <w:rPr>
                <w:rFonts w:ascii="Times New Roman" w:hAnsi="Times New Roman" w:cs="Times New Roman"/>
                <w:szCs w:val="21"/>
              </w:rPr>
            </w:pPr>
            <w:r>
              <w:rPr>
                <w:rFonts w:ascii="Times New Roman" w:hAnsi="Times New Roman" w:cs="Times New Roman"/>
                <w:kern w:val="0"/>
                <w:szCs w:val="21"/>
              </w:rPr>
              <w:t>烟尘</w:t>
            </w:r>
          </w:p>
        </w:tc>
        <w:tc>
          <w:tcPr>
            <w:tcW w:w="2551"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80.125</w:t>
            </w: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r>
              <w:rPr>
                <w:rFonts w:hint="eastAsia" w:ascii="Times New Roman" w:hAnsi="Times New Roman" w:cs="Times New Roman"/>
                <w:spacing w:val="10"/>
                <w:szCs w:val="21"/>
                <w:lang w:val="en-US" w:eastAsia="zh-CN"/>
              </w:rPr>
              <w:t>0.3</w:t>
            </w:r>
            <w:r>
              <w:rPr>
                <w:rFonts w:ascii="Times New Roman" w:hAnsi="Times New Roman" w:cs="Times New Roman"/>
                <w:szCs w:val="21"/>
              </w:rPr>
              <w:t>t/a</w:t>
            </w:r>
          </w:p>
        </w:tc>
        <w:tc>
          <w:tcPr>
            <w:tcW w:w="2552"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4.01</w:t>
            </w: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r>
              <w:rPr>
                <w:rFonts w:hint="eastAsia" w:ascii="Times New Roman" w:hAnsi="Times New Roman" w:cs="Times New Roman"/>
                <w:spacing w:val="10"/>
                <w:szCs w:val="21"/>
                <w:lang w:val="en-US" w:eastAsia="zh-CN"/>
              </w:rPr>
              <w:t>0.015</w:t>
            </w:r>
            <w:r>
              <w:rPr>
                <w:rFonts w:ascii="Times New Roman" w:hAnsi="Times New Roman" w:cs="Times New Roman"/>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51" w:hRule="atLeast"/>
          <w:jc w:val="center"/>
        </w:trPr>
        <w:tc>
          <w:tcPr>
            <w:tcW w:w="836" w:type="dxa"/>
            <w:vMerge w:val="continue"/>
            <w:vAlign w:val="center"/>
          </w:tcPr>
          <w:p>
            <w:pPr>
              <w:jc w:val="center"/>
              <w:rPr>
                <w:rFonts w:ascii="Times New Roman" w:hAnsi="Times New Roman" w:cs="Times New Roman"/>
                <w:szCs w:val="21"/>
              </w:rPr>
            </w:pPr>
          </w:p>
        </w:tc>
        <w:tc>
          <w:tcPr>
            <w:tcW w:w="425" w:type="dxa"/>
            <w:vMerge w:val="continue"/>
            <w:vAlign w:val="center"/>
          </w:tcPr>
          <w:p>
            <w:pPr>
              <w:adjustRightInd w:val="0"/>
              <w:snapToGrid w:val="0"/>
              <w:jc w:val="center"/>
              <w:rPr>
                <w:rFonts w:ascii="Times New Roman" w:hAnsi="Times New Roman" w:cs="Times New Roman"/>
                <w:szCs w:val="21"/>
              </w:rPr>
            </w:pPr>
          </w:p>
        </w:tc>
        <w:tc>
          <w:tcPr>
            <w:tcW w:w="992" w:type="dxa"/>
            <w:vMerge w:val="continue"/>
            <w:vAlign w:val="center"/>
          </w:tcPr>
          <w:p>
            <w:pPr>
              <w:adjustRightInd w:val="0"/>
              <w:snapToGrid w:val="0"/>
              <w:jc w:val="center"/>
              <w:rPr>
                <w:rFonts w:ascii="Times New Roman" w:hAnsi="Times New Roman" w:cs="Times New Roman"/>
                <w:szCs w:val="21"/>
              </w:rPr>
            </w:pPr>
          </w:p>
        </w:tc>
        <w:tc>
          <w:tcPr>
            <w:tcW w:w="1418" w:type="dxa"/>
            <w:vAlign w:val="center"/>
          </w:tcPr>
          <w:p>
            <w:pPr>
              <w:adjustRightInd w:val="0"/>
              <w:snapToGrid w:val="0"/>
              <w:jc w:val="center"/>
              <w:rPr>
                <w:rFonts w:ascii="Times New Roman" w:hAnsi="Times New Roman" w:cs="Times New Roman"/>
                <w:szCs w:val="21"/>
              </w:rPr>
            </w:pPr>
            <w:r>
              <w:rPr>
                <w:rFonts w:ascii="Times New Roman" w:hAnsi="Times New Roman" w:cs="Times New Roman"/>
                <w:kern w:val="0"/>
                <w:szCs w:val="21"/>
              </w:rPr>
              <w:t>NO</w:t>
            </w:r>
            <w:r>
              <w:rPr>
                <w:rFonts w:ascii="Times New Roman" w:hAnsi="Times New Roman" w:cs="Times New Roman"/>
                <w:kern w:val="0"/>
                <w:szCs w:val="21"/>
                <w:vertAlign w:val="subscript"/>
              </w:rPr>
              <w:t>X</w:t>
            </w:r>
          </w:p>
        </w:tc>
        <w:tc>
          <w:tcPr>
            <w:tcW w:w="2551"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163.46</w:t>
            </w: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r>
              <w:rPr>
                <w:rFonts w:ascii="Times New Roman" w:hAnsi="Times New Roman" w:cs="Times New Roman"/>
                <w:szCs w:val="21"/>
              </w:rPr>
              <w:t>t/a</w:t>
            </w:r>
          </w:p>
        </w:tc>
        <w:tc>
          <w:tcPr>
            <w:tcW w:w="2552"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lang w:val="en-US" w:eastAsia="zh-CN"/>
              </w:rPr>
              <w:t>163.46</w:t>
            </w: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r>
              <w:rPr>
                <w:rFonts w:ascii="Times New Roman" w:hAnsi="Times New Roman" w:cs="Times New Roman"/>
                <w:spacing w:val="10"/>
                <w:szCs w:val="21"/>
              </w:rPr>
              <w:t>0.</w:t>
            </w:r>
            <w:r>
              <w:rPr>
                <w:rFonts w:hint="eastAsia" w:ascii="Times New Roman" w:hAnsi="Times New Roman" w:cs="Times New Roman"/>
                <w:spacing w:val="10"/>
                <w:szCs w:val="21"/>
                <w:lang w:val="en-US" w:eastAsia="zh-CN"/>
              </w:rPr>
              <w:t>612</w:t>
            </w:r>
            <w:r>
              <w:rPr>
                <w:rFonts w:ascii="Times New Roman" w:hAnsi="Times New Roman" w:cs="Times New Roman"/>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199" w:hRule="atLeast"/>
          <w:jc w:val="center"/>
        </w:trPr>
        <w:tc>
          <w:tcPr>
            <w:tcW w:w="836" w:type="dxa"/>
            <w:vMerge w:val="continue"/>
            <w:vAlign w:val="center"/>
          </w:tcPr>
          <w:p>
            <w:pPr>
              <w:jc w:val="center"/>
              <w:rPr>
                <w:rFonts w:ascii="Times New Roman" w:hAnsi="Times New Roman" w:cs="Times New Roman"/>
                <w:szCs w:val="21"/>
              </w:rPr>
            </w:pPr>
          </w:p>
        </w:tc>
        <w:tc>
          <w:tcPr>
            <w:tcW w:w="1417" w:type="dxa"/>
            <w:gridSpan w:val="2"/>
            <w:vAlign w:val="center"/>
          </w:tcPr>
          <w:p>
            <w:pPr>
              <w:adjustRightInd w:val="0"/>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无组织废气</w:t>
            </w:r>
          </w:p>
        </w:tc>
        <w:tc>
          <w:tcPr>
            <w:tcW w:w="1418" w:type="dxa"/>
            <w:vAlign w:val="center"/>
          </w:tcPr>
          <w:p>
            <w:pPr>
              <w:adjustRightInd w:val="0"/>
              <w:snapToGrid w:val="0"/>
              <w:jc w:val="center"/>
              <w:rPr>
                <w:rFonts w:hint="eastAsia"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颗粒物</w:t>
            </w:r>
          </w:p>
        </w:tc>
        <w:tc>
          <w:tcPr>
            <w:tcW w:w="2551" w:type="dxa"/>
            <w:vAlign w:val="center"/>
          </w:tcPr>
          <w:p>
            <w:pPr>
              <w:adjustRightInd w:val="0"/>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2t/a</w:t>
            </w:r>
          </w:p>
        </w:tc>
        <w:tc>
          <w:tcPr>
            <w:tcW w:w="2552" w:type="dxa"/>
            <w:vAlign w:val="center"/>
          </w:tcPr>
          <w:p>
            <w:pPr>
              <w:adjustRightInd w:val="0"/>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0.1t/a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44" w:hRule="atLeast"/>
          <w:jc w:val="center"/>
        </w:trPr>
        <w:tc>
          <w:tcPr>
            <w:tcW w:w="836" w:type="dxa"/>
            <w:vAlign w:val="center"/>
          </w:tcPr>
          <w:p>
            <w:pPr>
              <w:jc w:val="center"/>
              <w:rPr>
                <w:rFonts w:ascii="Times New Roman" w:hAnsi="Times New Roman" w:cs="Times New Roman"/>
                <w:szCs w:val="21"/>
              </w:rPr>
            </w:pPr>
            <w:r>
              <w:rPr>
                <w:rFonts w:ascii="Times New Roman" w:hAnsi="Times New Roman" w:cs="Times New Roman"/>
                <w:szCs w:val="21"/>
              </w:rPr>
              <w:t>固体</w:t>
            </w:r>
          </w:p>
          <w:p>
            <w:pPr>
              <w:jc w:val="center"/>
              <w:rPr>
                <w:rFonts w:ascii="Times New Roman" w:hAnsi="Times New Roman" w:cs="Times New Roman"/>
                <w:szCs w:val="21"/>
              </w:rPr>
            </w:pPr>
            <w:r>
              <w:rPr>
                <w:rFonts w:ascii="Times New Roman" w:hAnsi="Times New Roman" w:cs="Times New Roman"/>
                <w:szCs w:val="21"/>
              </w:rPr>
              <w:t>废物</w:t>
            </w:r>
          </w:p>
        </w:tc>
        <w:tc>
          <w:tcPr>
            <w:tcW w:w="1417" w:type="dxa"/>
            <w:gridSpan w:val="2"/>
            <w:vAlign w:val="center"/>
          </w:tcPr>
          <w:p>
            <w:pPr>
              <w:adjustRightInd w:val="0"/>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一般固废</w:t>
            </w:r>
          </w:p>
        </w:tc>
        <w:tc>
          <w:tcPr>
            <w:tcW w:w="1418" w:type="dxa"/>
            <w:vAlign w:val="center"/>
          </w:tcPr>
          <w:p>
            <w:pPr>
              <w:adjustRightInd w:val="0"/>
              <w:snapToGrid w:val="0"/>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水膜除尘的粉尘</w:t>
            </w:r>
          </w:p>
        </w:tc>
        <w:tc>
          <w:tcPr>
            <w:tcW w:w="2551" w:type="dxa"/>
            <w:vAlign w:val="center"/>
          </w:tcPr>
          <w:p>
            <w:pPr>
              <w:jc w:val="center"/>
              <w:rPr>
                <w:rFonts w:ascii="Times New Roman" w:hAnsi="Times New Roman" w:cs="Times New Roman"/>
                <w:szCs w:val="21"/>
              </w:rPr>
            </w:pPr>
            <w:r>
              <w:rPr>
                <w:rFonts w:hint="eastAsia" w:ascii="Times New Roman" w:hAnsi="Times New Roman" w:cs="Times New Roman"/>
                <w:szCs w:val="21"/>
                <w:lang w:val="en-US" w:eastAsia="zh-CN"/>
              </w:rPr>
              <w:t>0.285</w:t>
            </w:r>
            <w:r>
              <w:rPr>
                <w:rFonts w:ascii="Times New Roman" w:hAnsi="Times New Roman" w:cs="Times New Roman"/>
                <w:szCs w:val="21"/>
              </w:rPr>
              <w:t>t/a</w:t>
            </w:r>
          </w:p>
        </w:tc>
        <w:tc>
          <w:tcPr>
            <w:tcW w:w="2552"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外售综合利用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70" w:hRule="atLeast"/>
          <w:jc w:val="center"/>
        </w:trPr>
        <w:tc>
          <w:tcPr>
            <w:tcW w:w="836" w:type="dxa"/>
            <w:vAlign w:val="center"/>
          </w:tcPr>
          <w:p>
            <w:pPr>
              <w:jc w:val="center"/>
              <w:rPr>
                <w:rFonts w:ascii="Times New Roman" w:hAnsi="Times New Roman" w:cs="Times New Roman"/>
                <w:szCs w:val="21"/>
              </w:rPr>
            </w:pPr>
            <w:r>
              <w:rPr>
                <w:rFonts w:ascii="Times New Roman" w:hAnsi="Times New Roman" w:cs="Times New Roman"/>
                <w:szCs w:val="21"/>
              </w:rPr>
              <w:t>噪</w:t>
            </w:r>
          </w:p>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声</w:t>
            </w:r>
          </w:p>
        </w:tc>
        <w:tc>
          <w:tcPr>
            <w:tcW w:w="7938" w:type="dxa"/>
            <w:gridSpan w:val="5"/>
            <w:vAlign w:val="center"/>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本项目主要噪声源主要为</w:t>
            </w:r>
            <w:r>
              <w:rPr>
                <w:rFonts w:hint="eastAsia" w:ascii="Times New Roman" w:hAnsi="Times New Roman" w:cs="Times New Roman"/>
                <w:szCs w:val="21"/>
                <w:lang w:val="en-US" w:eastAsia="zh-CN"/>
              </w:rPr>
              <w:t>烘干机、热风炉、风机</w:t>
            </w:r>
            <w:r>
              <w:rPr>
                <w:rFonts w:ascii="Times New Roman" w:hAnsi="Times New Roman" w:cs="Times New Roman"/>
                <w:szCs w:val="21"/>
              </w:rPr>
              <w:t>等产生的噪声，通过选用噪声较低、振动较小的设备，合理布局噪声源，建筑隔声，距离衰减后，本项目各厂界噪声排放符合2类标准。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83" w:hRule="atLeast"/>
          <w:jc w:val="center"/>
        </w:trPr>
        <w:tc>
          <w:tcPr>
            <w:tcW w:w="836" w:type="dxa"/>
            <w:vAlign w:val="center"/>
          </w:tcPr>
          <w:p>
            <w:pPr>
              <w:jc w:val="center"/>
              <w:rPr>
                <w:rFonts w:ascii="Times New Roman" w:hAnsi="Times New Roman" w:cs="Times New Roman"/>
                <w:szCs w:val="21"/>
              </w:rPr>
            </w:pPr>
            <w:r>
              <w:rPr>
                <w:rFonts w:ascii="Times New Roman" w:hAnsi="Times New Roman" w:cs="Times New Roman"/>
                <w:szCs w:val="21"/>
              </w:rPr>
              <w:t>其</w:t>
            </w:r>
          </w:p>
          <w:p>
            <w:pPr>
              <w:jc w:val="center"/>
              <w:rPr>
                <w:rFonts w:ascii="Times New Roman" w:hAnsi="Times New Roman" w:cs="Times New Roman"/>
                <w:szCs w:val="21"/>
              </w:rPr>
            </w:pPr>
            <w:r>
              <w:rPr>
                <w:rFonts w:ascii="Times New Roman" w:hAnsi="Times New Roman" w:cs="Times New Roman"/>
                <w:szCs w:val="21"/>
              </w:rPr>
              <w:t>它</w:t>
            </w:r>
          </w:p>
        </w:tc>
        <w:tc>
          <w:tcPr>
            <w:tcW w:w="7938" w:type="dxa"/>
            <w:gridSpan w:val="5"/>
            <w:vAlign w:val="center"/>
          </w:tcPr>
          <w:p>
            <w:pPr>
              <w:ind w:firstLine="420" w:firstLineChars="200"/>
              <w:jc w:val="left"/>
              <w:rPr>
                <w:rFonts w:ascii="Times New Roman" w:hAnsi="Times New Roman" w:cs="Times New Roman"/>
                <w:szCs w:val="21"/>
              </w:rPr>
            </w:pPr>
            <w:r>
              <w:rPr>
                <w:rFonts w:ascii="Times New Roman" w:hAnsi="Times New Roman" w:cs="Times New Roman"/>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02" w:hRule="atLeast"/>
          <w:jc w:val="center"/>
        </w:trPr>
        <w:tc>
          <w:tcPr>
            <w:tcW w:w="8774" w:type="dxa"/>
            <w:gridSpan w:val="6"/>
            <w:vAlign w:val="center"/>
          </w:tcPr>
          <w:p>
            <w:pPr>
              <w:spacing w:line="360" w:lineRule="auto"/>
              <w:jc w:val="left"/>
              <w:rPr>
                <w:rFonts w:ascii="Times New Roman" w:hAnsi="Times New Roman" w:cs="Times New Roman"/>
                <w:b/>
                <w:bCs/>
                <w:szCs w:val="21"/>
              </w:rPr>
            </w:pPr>
            <w:r>
              <w:rPr>
                <w:rFonts w:ascii="Times New Roman" w:hAnsi="Times New Roman" w:cs="Times New Roman"/>
                <w:b/>
                <w:bCs/>
                <w:szCs w:val="21"/>
              </w:rPr>
              <w:t>主要生态影响（不够时可附另页）：</w:t>
            </w:r>
          </w:p>
          <w:p>
            <w:pPr>
              <w:spacing w:line="360" w:lineRule="auto"/>
              <w:rPr>
                <w:rFonts w:ascii="Times New Roman" w:hAnsi="Times New Roman" w:cs="Times New Roman"/>
                <w:szCs w:val="21"/>
              </w:rPr>
            </w:pPr>
            <w:r>
              <w:rPr>
                <w:rFonts w:ascii="Times New Roman" w:hAnsi="Times New Roman" w:cs="Times New Roman"/>
                <w:szCs w:val="21"/>
              </w:rPr>
              <w:t>无</w:t>
            </w:r>
          </w:p>
        </w:tc>
      </w:tr>
    </w:tbl>
    <w:p>
      <w:pPr>
        <w:pStyle w:val="17"/>
      </w:pPr>
    </w:p>
    <w:p>
      <w:pPr>
        <w:pStyle w:val="17"/>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hint="eastAsia" w:ascii="宋体" w:hAnsi="宋体" w:eastAsia="宋体" w:cs="宋体"/>
          <w:b/>
          <w:color w:val="auto"/>
          <w:sz w:val="30"/>
          <w:szCs w:val="30"/>
          <w:lang w:bidi="ar"/>
        </w:rPr>
      </w:pPr>
      <w:r>
        <w:rPr>
          <w:rFonts w:hint="eastAsia" w:ascii="宋体" w:hAnsi="宋体" w:eastAsia="宋体" w:cs="宋体"/>
          <w:b/>
          <w:color w:val="auto"/>
          <w:sz w:val="30"/>
          <w:szCs w:val="30"/>
          <w:lang w:bidi="ar"/>
        </w:rPr>
        <w:t>环境影响分析</w:t>
      </w:r>
    </w:p>
    <w:tbl>
      <w:tblPr>
        <w:tblStyle w:val="15"/>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19" w:hRule="atLeast"/>
          <w:jc w:val="center"/>
        </w:trPr>
        <w:tc>
          <w:tcPr>
            <w:tcW w:w="8528" w:type="dxa"/>
            <w:vAlign w:val="center"/>
          </w:tcPr>
          <w:p>
            <w:pPr>
              <w:spacing w:line="360" w:lineRule="auto"/>
              <w:rPr>
                <w:rFonts w:ascii="Times New Roman" w:hAnsi="Times New Roman" w:cs="Times New Roman"/>
                <w:b/>
                <w:sz w:val="24"/>
                <w:szCs w:val="24"/>
              </w:rPr>
            </w:pPr>
            <w:r>
              <w:rPr>
                <w:rFonts w:ascii="Times New Roman" w:hAnsi="Times New Roman" w:cs="Times New Roman"/>
                <w:b/>
                <w:sz w:val="24"/>
                <w:szCs w:val="24"/>
              </w:rPr>
              <w:t>施工期环境影响分析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lang w:val="en-US" w:eastAsia="zh-CN"/>
              </w:rPr>
              <w:t>本项目</w:t>
            </w:r>
            <w:r>
              <w:rPr>
                <w:rFonts w:hint="eastAsia" w:ascii="Times New Roman" w:hAnsi="Times New Roman" w:cs="Times New Roman"/>
                <w:sz w:val="24"/>
                <w:szCs w:val="24"/>
                <w:lang w:val="en-US" w:eastAsia="zh-CN"/>
              </w:rPr>
              <w:t>为技改扩建项目，</w:t>
            </w:r>
            <w:r>
              <w:rPr>
                <w:rFonts w:hint="eastAsia" w:ascii="Times New Roman" w:hAnsi="Times New Roman" w:eastAsia="宋体" w:cs="Times New Roman"/>
                <w:color w:val="auto"/>
                <w:sz w:val="24"/>
                <w:lang w:val="en-US" w:eastAsia="zh-CN" w:bidi="ar"/>
              </w:rPr>
              <w:t>利用租赁厂房1500平方米</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新增设备，主要为设备安装，</w:t>
            </w:r>
            <w:r>
              <w:rPr>
                <w:rFonts w:hint="default" w:ascii="Times New Roman" w:hAnsi="Times New Roman" w:cs="Times New Roman"/>
                <w:sz w:val="24"/>
                <w:szCs w:val="24"/>
                <w:lang w:val="en-US" w:eastAsia="zh-CN"/>
              </w:rPr>
              <w:t>所以施工期环境影响分析从简。</w:t>
            </w:r>
          </w:p>
          <w:p>
            <w:pPr>
              <w:spacing w:line="360" w:lineRule="auto"/>
              <w:rPr>
                <w:rFonts w:ascii="Times New Roman" w:hAnsi="Times New Roman" w:cs="Times New Roman"/>
                <w:b/>
                <w:sz w:val="24"/>
                <w:szCs w:val="24"/>
              </w:rPr>
            </w:pPr>
            <w:r>
              <w:rPr>
                <w:rFonts w:ascii="Times New Roman" w:hAnsi="Times New Roman" w:cs="Times New Roman"/>
                <w:b/>
                <w:sz w:val="24"/>
                <w:szCs w:val="24"/>
              </w:rPr>
              <w:t>营运期环境影响分析</w:t>
            </w:r>
          </w:p>
          <w:p>
            <w:pPr>
              <w:spacing w:line="48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1、地表水环境影响分析</w:t>
            </w:r>
          </w:p>
          <w:p>
            <w:pPr>
              <w:spacing w:line="48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本项目无生产废水产生及排放；本项目不新增生活污水。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b/>
                <w:bCs w:val="0"/>
                <w:sz w:val="24"/>
                <w:szCs w:val="24"/>
              </w:rPr>
            </w:pPr>
            <w:r>
              <w:rPr>
                <w:rFonts w:ascii="Times New Roman" w:hAnsi="Times New Roman" w:cs="Times New Roman"/>
                <w:b/>
                <w:bCs w:val="0"/>
                <w:sz w:val="24"/>
                <w:szCs w:val="24"/>
              </w:rPr>
              <w:t>2、环境空气影响分析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（1）评价等级的判定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bCs/>
                <w:sz w:val="24"/>
                <w:szCs w:val="24"/>
              </w:rPr>
              <w:t>采</w:t>
            </w:r>
            <w:r>
              <w:rPr>
                <w:rFonts w:hint="default" w:ascii="Times New Roman" w:hAnsi="Times New Roman" w:cs="Times New Roman"/>
                <w:sz w:val="24"/>
                <w:szCs w:val="24"/>
              </w:rPr>
              <w:t>用《环境影响评价技术导则  大气环境》（HJ2.2-2018）推荐估算模型进行评价等级的判断。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①污染源参数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本项目点源源强参数调查清单见表7-4；本项目面源源强参数调查清单见表7-5。</w:t>
            </w:r>
          </w:p>
          <w:p>
            <w:pPr>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表7-4  本项目点源源强参数调查清单</w:t>
            </w:r>
          </w:p>
          <w:tbl>
            <w:tblPr>
              <w:tblStyle w:val="1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1358"/>
              <w:gridCol w:w="1142"/>
              <w:gridCol w:w="652"/>
              <w:gridCol w:w="651"/>
              <w:gridCol w:w="651"/>
              <w:gridCol w:w="748"/>
              <w:gridCol w:w="687"/>
              <w:gridCol w:w="529"/>
              <w:gridCol w:w="387"/>
              <w:gridCol w:w="617"/>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85"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污染源名称</w:t>
                  </w:r>
                </w:p>
              </w:tc>
              <w:tc>
                <w:tcPr>
                  <w:tcW w:w="2500" w:type="dxa"/>
                  <w:gridSpan w:val="2"/>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排气筒底部中心坐标</w:t>
                  </w:r>
                </w:p>
              </w:tc>
              <w:tc>
                <w:tcPr>
                  <w:tcW w:w="652"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排气筒底部海拔高度（m）</w:t>
                  </w:r>
                </w:p>
              </w:tc>
              <w:tc>
                <w:tcPr>
                  <w:tcW w:w="651"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排气筒高度（m）</w:t>
                  </w:r>
                </w:p>
              </w:tc>
              <w:tc>
                <w:tcPr>
                  <w:tcW w:w="651"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排气筒出口内径（m）</w:t>
                  </w:r>
                </w:p>
              </w:tc>
              <w:tc>
                <w:tcPr>
                  <w:tcW w:w="748"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流速（m/s）</w:t>
                  </w:r>
                </w:p>
              </w:tc>
              <w:tc>
                <w:tcPr>
                  <w:tcW w:w="687"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烟气温度（℃）</w:t>
                  </w:r>
                </w:p>
              </w:tc>
              <w:tc>
                <w:tcPr>
                  <w:tcW w:w="529"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年排放小时数h</w:t>
                  </w:r>
                </w:p>
              </w:tc>
              <w:tc>
                <w:tcPr>
                  <w:tcW w:w="387"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排放工况</w:t>
                  </w:r>
                </w:p>
              </w:tc>
              <w:tc>
                <w:tcPr>
                  <w:tcW w:w="1112" w:type="dxa"/>
                  <w:gridSpan w:val="2"/>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385" w:type="dxa"/>
                  <w:vMerge w:val="continue"/>
                  <w:shd w:val="clear" w:color="auto" w:fill="auto"/>
                  <w:vAlign w:val="center"/>
                </w:tcPr>
                <w:p>
                  <w:pPr>
                    <w:jc w:val="center"/>
                    <w:rPr>
                      <w:rFonts w:hint="default" w:ascii="Times New Roman" w:hAnsi="Times New Roman" w:cs="Times New Roman"/>
                      <w:b/>
                      <w:bCs/>
                      <w:sz w:val="21"/>
                      <w:szCs w:val="21"/>
                    </w:rPr>
                  </w:pPr>
                </w:p>
              </w:tc>
              <w:tc>
                <w:tcPr>
                  <w:tcW w:w="1358"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经度</w:t>
                  </w:r>
                </w:p>
              </w:tc>
              <w:tc>
                <w:tcPr>
                  <w:tcW w:w="1142"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纬度</w:t>
                  </w:r>
                </w:p>
              </w:tc>
              <w:tc>
                <w:tcPr>
                  <w:tcW w:w="652" w:type="dxa"/>
                  <w:vMerge w:val="continue"/>
                  <w:shd w:val="clear" w:color="auto" w:fill="auto"/>
                  <w:vAlign w:val="center"/>
                </w:tcPr>
                <w:p>
                  <w:pPr>
                    <w:jc w:val="center"/>
                    <w:rPr>
                      <w:rFonts w:hint="default" w:ascii="Times New Roman" w:hAnsi="Times New Roman" w:cs="Times New Roman"/>
                      <w:b/>
                      <w:bCs/>
                      <w:sz w:val="21"/>
                      <w:szCs w:val="21"/>
                    </w:rPr>
                  </w:pPr>
                </w:p>
              </w:tc>
              <w:tc>
                <w:tcPr>
                  <w:tcW w:w="651" w:type="dxa"/>
                  <w:vMerge w:val="continue"/>
                  <w:shd w:val="clear" w:color="auto" w:fill="auto"/>
                  <w:vAlign w:val="center"/>
                </w:tcPr>
                <w:p>
                  <w:pPr>
                    <w:jc w:val="center"/>
                    <w:rPr>
                      <w:rFonts w:hint="default" w:ascii="Times New Roman" w:hAnsi="Times New Roman" w:cs="Times New Roman"/>
                      <w:b/>
                      <w:bCs/>
                      <w:sz w:val="21"/>
                      <w:szCs w:val="21"/>
                    </w:rPr>
                  </w:pPr>
                </w:p>
              </w:tc>
              <w:tc>
                <w:tcPr>
                  <w:tcW w:w="651" w:type="dxa"/>
                  <w:vMerge w:val="continue"/>
                  <w:shd w:val="clear" w:color="auto" w:fill="auto"/>
                  <w:vAlign w:val="center"/>
                </w:tcPr>
                <w:p>
                  <w:pPr>
                    <w:jc w:val="center"/>
                    <w:rPr>
                      <w:rFonts w:hint="default" w:ascii="Times New Roman" w:hAnsi="Times New Roman" w:cs="Times New Roman"/>
                      <w:b/>
                      <w:bCs/>
                      <w:sz w:val="21"/>
                      <w:szCs w:val="21"/>
                    </w:rPr>
                  </w:pPr>
                </w:p>
              </w:tc>
              <w:tc>
                <w:tcPr>
                  <w:tcW w:w="748" w:type="dxa"/>
                  <w:vMerge w:val="continue"/>
                  <w:shd w:val="clear" w:color="auto" w:fill="auto"/>
                  <w:vAlign w:val="center"/>
                </w:tcPr>
                <w:p>
                  <w:pPr>
                    <w:jc w:val="center"/>
                    <w:rPr>
                      <w:rFonts w:hint="default" w:ascii="Times New Roman" w:hAnsi="Times New Roman" w:cs="Times New Roman"/>
                      <w:b/>
                      <w:bCs/>
                      <w:sz w:val="21"/>
                      <w:szCs w:val="21"/>
                    </w:rPr>
                  </w:pPr>
                </w:p>
              </w:tc>
              <w:tc>
                <w:tcPr>
                  <w:tcW w:w="687" w:type="dxa"/>
                  <w:vMerge w:val="continue"/>
                  <w:shd w:val="clear" w:color="auto" w:fill="auto"/>
                  <w:vAlign w:val="center"/>
                </w:tcPr>
                <w:p>
                  <w:pPr>
                    <w:jc w:val="center"/>
                    <w:rPr>
                      <w:rFonts w:hint="default" w:ascii="Times New Roman" w:hAnsi="Times New Roman" w:cs="Times New Roman"/>
                      <w:b/>
                      <w:bCs/>
                      <w:sz w:val="21"/>
                      <w:szCs w:val="21"/>
                    </w:rPr>
                  </w:pPr>
                </w:p>
              </w:tc>
              <w:tc>
                <w:tcPr>
                  <w:tcW w:w="529" w:type="dxa"/>
                  <w:vMerge w:val="continue"/>
                  <w:shd w:val="clear" w:color="auto" w:fill="auto"/>
                  <w:vAlign w:val="center"/>
                </w:tcPr>
                <w:p>
                  <w:pPr>
                    <w:jc w:val="center"/>
                    <w:rPr>
                      <w:rFonts w:hint="default" w:ascii="Times New Roman" w:hAnsi="Times New Roman" w:cs="Times New Roman"/>
                      <w:b/>
                      <w:bCs/>
                      <w:sz w:val="21"/>
                      <w:szCs w:val="21"/>
                    </w:rPr>
                  </w:pPr>
                </w:p>
              </w:tc>
              <w:tc>
                <w:tcPr>
                  <w:tcW w:w="387" w:type="dxa"/>
                  <w:vMerge w:val="continue"/>
                  <w:shd w:val="clear" w:color="auto" w:fill="auto"/>
                  <w:vAlign w:val="center"/>
                </w:tcPr>
                <w:p>
                  <w:pPr>
                    <w:jc w:val="center"/>
                    <w:rPr>
                      <w:rFonts w:hint="default" w:ascii="Times New Roman" w:hAnsi="Times New Roman" w:cs="Times New Roman"/>
                      <w:b/>
                      <w:bCs/>
                      <w:sz w:val="21"/>
                      <w:szCs w:val="21"/>
                    </w:rPr>
                  </w:pPr>
                </w:p>
              </w:tc>
              <w:tc>
                <w:tcPr>
                  <w:tcW w:w="617" w:type="dxa"/>
                  <w:shd w:val="clear" w:color="auto" w:fill="auto"/>
                  <w:vAlign w:val="center"/>
                </w:tcPr>
                <w:p>
                  <w:pPr>
                    <w:jc w:val="center"/>
                    <w:rPr>
                      <w:rFonts w:hint="default" w:ascii="Times New Roman" w:hAnsi="Times New Roman" w:cs="Times New Roman" w:eastAsiaTheme="minorEastAsia"/>
                      <w:b/>
                      <w:sz w:val="21"/>
                      <w:szCs w:val="21"/>
                      <w:lang w:val="en-US" w:eastAsia="zh-CN"/>
                    </w:rPr>
                  </w:pPr>
                  <w:r>
                    <w:rPr>
                      <w:rFonts w:hint="eastAsia" w:ascii="Times New Roman" w:hAnsi="Times New Roman" w:cs="Times New Roman"/>
                      <w:b/>
                      <w:sz w:val="21"/>
                      <w:szCs w:val="21"/>
                      <w:lang w:val="en-US" w:eastAsia="zh-CN"/>
                    </w:rPr>
                    <w:t>颗粒物</w:t>
                  </w:r>
                </w:p>
              </w:tc>
              <w:tc>
                <w:tcPr>
                  <w:tcW w:w="495" w:type="dxa"/>
                  <w:vAlign w:val="center"/>
                </w:tcPr>
                <w:p>
                  <w:pPr>
                    <w:jc w:val="center"/>
                    <w:rPr>
                      <w:rFonts w:hint="default" w:ascii="Times New Roman" w:hAnsi="Times New Roman" w:cs="Times New Roman" w:eastAsiaTheme="minorEastAsia"/>
                      <w:b/>
                      <w:bCs/>
                      <w:sz w:val="21"/>
                      <w:szCs w:val="21"/>
                      <w:lang w:val="en-US" w:eastAsia="zh-CN"/>
                    </w:rPr>
                  </w:pPr>
                  <w:r>
                    <w:rPr>
                      <w:rFonts w:hint="eastAsia" w:ascii="Times New Roman" w:hAnsi="Times New Roman" w:cs="Times New Roman"/>
                      <w:b/>
                      <w:bCs/>
                      <w:sz w:val="21"/>
                      <w:szCs w:val="21"/>
                      <w:lang w:val="en-US" w:eastAsia="zh-CN"/>
                    </w:rPr>
                    <w:t>NO</w:t>
                  </w:r>
                  <w:r>
                    <w:rPr>
                      <w:rFonts w:hint="eastAsia" w:ascii="Times New Roman" w:hAnsi="Times New Roman" w:cs="Times New Roman"/>
                      <w:b/>
                      <w:bCs/>
                      <w:sz w:val="21"/>
                      <w:szCs w:val="21"/>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5"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w:t>
                  </w:r>
                </w:p>
              </w:tc>
              <w:tc>
                <w:tcPr>
                  <w:tcW w:w="1358" w:type="dxa"/>
                  <w:shd w:val="clear" w:color="auto" w:fill="auto"/>
                  <w:vAlign w:val="center"/>
                </w:tcPr>
                <w:p>
                  <w:pPr>
                    <w:adjustRightInd w:val="0"/>
                    <w:snapToGrid w:val="0"/>
                    <w:jc w:val="center"/>
                    <w:rPr>
                      <w:rFonts w:hint="default" w:ascii="Times New Roman" w:hAnsi="Times New Roman" w:cs="Times New Roman"/>
                      <w:sz w:val="21"/>
                      <w:szCs w:val="21"/>
                      <w:lang w:val="en-US"/>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19.</w:t>
                  </w:r>
                  <w:r>
                    <w:rPr>
                      <w:rFonts w:hint="eastAsia" w:ascii="Times New Roman" w:hAnsi="Times New Roman" w:cs="Times New Roman"/>
                      <w:sz w:val="21"/>
                      <w:szCs w:val="21"/>
                      <w:lang w:val="en-US" w:eastAsia="zh-CN"/>
                    </w:rPr>
                    <w:t>784279</w:t>
                  </w:r>
                  <w:r>
                    <w:rPr>
                      <w:rFonts w:hint="default" w:ascii="Times New Roman" w:hAnsi="Times New Roman" w:cs="Times New Roman"/>
                      <w:sz w:val="21"/>
                      <w:szCs w:val="21"/>
                    </w:rPr>
                    <w:t>°</w:t>
                  </w:r>
                </w:p>
              </w:tc>
              <w:tc>
                <w:tcPr>
                  <w:tcW w:w="1142" w:type="dxa"/>
                  <w:shd w:val="clear" w:color="auto" w:fill="auto"/>
                  <w:vAlign w:val="center"/>
                </w:tcPr>
                <w:p>
                  <w:pPr>
                    <w:adjustRightInd w:val="0"/>
                    <w:snapToGrid w:val="0"/>
                    <w:jc w:val="center"/>
                    <w:rPr>
                      <w:rFonts w:hint="default" w:ascii="Times New Roman" w:hAnsi="Times New Roman" w:cs="Times New Roman"/>
                      <w:sz w:val="21"/>
                      <w:szCs w:val="21"/>
                      <w:lang w:val="en-US"/>
                    </w:rPr>
                  </w:pPr>
                  <w:r>
                    <w:rPr>
                      <w:rFonts w:hint="default" w:ascii="Times New Roman" w:hAnsi="Times New Roman" w:cs="Times New Roman"/>
                      <w:sz w:val="21"/>
                      <w:szCs w:val="21"/>
                    </w:rPr>
                    <w:t>31</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723516</w:t>
                  </w:r>
                  <w:r>
                    <w:rPr>
                      <w:rFonts w:hint="default" w:ascii="Times New Roman" w:hAnsi="Times New Roman" w:cs="Times New Roman"/>
                      <w:sz w:val="21"/>
                      <w:szCs w:val="21"/>
                    </w:rPr>
                    <w:t>°</w:t>
                  </w:r>
                </w:p>
              </w:tc>
              <w:tc>
                <w:tcPr>
                  <w:tcW w:w="652"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651" w:type="dxa"/>
                  <w:shd w:val="clear" w:color="auto" w:fill="auto"/>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w:t>
                  </w:r>
                </w:p>
              </w:tc>
              <w:tc>
                <w:tcPr>
                  <w:tcW w:w="651" w:type="dxa"/>
                  <w:shd w:val="clear" w:color="auto" w:fill="auto"/>
                  <w:vAlign w:val="center"/>
                </w:tcPr>
                <w:p>
                  <w:pPr>
                    <w:jc w:val="cente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1</w:t>
                  </w:r>
                </w:p>
              </w:tc>
              <w:tc>
                <w:tcPr>
                  <w:tcW w:w="748"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18.4</w:t>
                  </w:r>
                </w:p>
              </w:tc>
              <w:tc>
                <w:tcPr>
                  <w:tcW w:w="68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10</w:t>
                  </w:r>
                  <w:r>
                    <w:rPr>
                      <w:rFonts w:hint="default" w:ascii="Times New Roman" w:hAnsi="Times New Roman" w:cs="Times New Roman"/>
                      <w:sz w:val="21"/>
                      <w:szCs w:val="21"/>
                      <w:lang w:val="en-US" w:eastAsia="zh-CN"/>
                    </w:rPr>
                    <w:t>0</w:t>
                  </w:r>
                </w:p>
              </w:tc>
              <w:tc>
                <w:tcPr>
                  <w:tcW w:w="529"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72</w:t>
                  </w:r>
                  <w:r>
                    <w:rPr>
                      <w:rFonts w:hint="default" w:ascii="Times New Roman" w:hAnsi="Times New Roman" w:cs="Times New Roman"/>
                      <w:sz w:val="21"/>
                      <w:szCs w:val="21"/>
                      <w:lang w:val="en-US" w:eastAsia="zh-CN"/>
                    </w:rPr>
                    <w:t>00</w:t>
                  </w:r>
                </w:p>
              </w:tc>
              <w:tc>
                <w:tcPr>
                  <w:tcW w:w="387"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连续</w:t>
                  </w:r>
                  <w:r>
                    <w:rPr>
                      <w:rFonts w:hint="default" w:ascii="Times New Roman" w:hAnsi="Times New Roman" w:cs="Times New Roman"/>
                      <w:sz w:val="21"/>
                      <w:szCs w:val="21"/>
                    </w:rPr>
                    <w:t>排放</w:t>
                  </w:r>
                </w:p>
              </w:tc>
              <w:tc>
                <w:tcPr>
                  <w:tcW w:w="61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0.00</w:t>
                  </w:r>
                  <w:r>
                    <w:rPr>
                      <w:rFonts w:hint="eastAsia" w:ascii="Times New Roman" w:hAnsi="Times New Roman" w:cs="Times New Roman"/>
                      <w:sz w:val="21"/>
                      <w:szCs w:val="21"/>
                      <w:lang w:val="en-US" w:eastAsia="zh-CN"/>
                    </w:rPr>
                    <w:t>2</w:t>
                  </w:r>
                </w:p>
              </w:tc>
              <w:tc>
                <w:tcPr>
                  <w:tcW w:w="495"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0.085</w:t>
                  </w:r>
                </w:p>
              </w:tc>
            </w:tr>
          </w:tbl>
          <w:p>
            <w:pPr>
              <w:spacing w:line="480" w:lineRule="exact"/>
              <w:jc w:val="center"/>
              <w:rPr>
                <w:rFonts w:hint="default" w:ascii="Times New Roman" w:hAnsi="Times New Roman" w:cs="Times New Roman"/>
                <w:b/>
                <w:sz w:val="24"/>
                <w:szCs w:val="24"/>
              </w:rPr>
            </w:pPr>
          </w:p>
          <w:p>
            <w:pPr>
              <w:spacing w:line="480" w:lineRule="exact"/>
              <w:jc w:val="center"/>
              <w:rPr>
                <w:rFonts w:hint="default" w:ascii="Times New Roman" w:hAnsi="Times New Roman" w:cs="Times New Roman"/>
                <w:b/>
                <w:sz w:val="24"/>
                <w:szCs w:val="24"/>
              </w:rPr>
            </w:pPr>
          </w:p>
          <w:p>
            <w:pPr>
              <w:spacing w:line="480" w:lineRule="exact"/>
              <w:jc w:val="center"/>
              <w:rPr>
                <w:rFonts w:hint="default" w:ascii="Times New Roman" w:hAnsi="Times New Roman" w:cs="Times New Roman"/>
                <w:b/>
                <w:sz w:val="24"/>
                <w:szCs w:val="24"/>
              </w:rPr>
            </w:pPr>
          </w:p>
          <w:p>
            <w:pPr>
              <w:spacing w:line="480" w:lineRule="exact"/>
              <w:jc w:val="center"/>
              <w:rPr>
                <w:rFonts w:hint="default" w:ascii="Times New Roman" w:hAnsi="Times New Roman" w:cs="Times New Roman"/>
                <w:b/>
                <w:sz w:val="24"/>
                <w:szCs w:val="24"/>
              </w:rPr>
            </w:pPr>
          </w:p>
          <w:p>
            <w:pPr>
              <w:spacing w:line="480" w:lineRule="exact"/>
              <w:jc w:val="center"/>
              <w:rPr>
                <w:rFonts w:hint="default" w:ascii="Times New Roman" w:hAnsi="Times New Roman" w:cs="Times New Roman"/>
                <w:b/>
                <w:sz w:val="24"/>
                <w:szCs w:val="24"/>
              </w:rPr>
            </w:pPr>
          </w:p>
          <w:p>
            <w:pPr>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表7-5 本项目面源源强参数调查清单</w:t>
            </w:r>
          </w:p>
          <w:tbl>
            <w:tblPr>
              <w:tblStyle w:val="1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33"/>
              <w:gridCol w:w="800"/>
              <w:gridCol w:w="694"/>
              <w:gridCol w:w="600"/>
              <w:gridCol w:w="733"/>
              <w:gridCol w:w="680"/>
              <w:gridCol w:w="747"/>
              <w:gridCol w:w="613"/>
              <w:gridCol w:w="74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56"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1633" w:type="dxa"/>
                  <w:gridSpan w:val="2"/>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面源起点坐标/m</w:t>
                  </w:r>
                </w:p>
              </w:tc>
              <w:tc>
                <w:tcPr>
                  <w:tcW w:w="694"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面源海拔高度（m）</w:t>
                  </w:r>
                </w:p>
              </w:tc>
              <w:tc>
                <w:tcPr>
                  <w:tcW w:w="600"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面源长度（m）</w:t>
                  </w:r>
                </w:p>
              </w:tc>
              <w:tc>
                <w:tcPr>
                  <w:tcW w:w="733"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面源宽度（m）</w:t>
                  </w:r>
                </w:p>
              </w:tc>
              <w:tc>
                <w:tcPr>
                  <w:tcW w:w="680"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与正北夹角（°）</w:t>
                  </w:r>
                </w:p>
              </w:tc>
              <w:tc>
                <w:tcPr>
                  <w:tcW w:w="747"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面源有效排放高度（m）</w:t>
                  </w:r>
                </w:p>
              </w:tc>
              <w:tc>
                <w:tcPr>
                  <w:tcW w:w="613"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年排放小时数</w:t>
                  </w:r>
                </w:p>
              </w:tc>
              <w:tc>
                <w:tcPr>
                  <w:tcW w:w="747" w:type="dxa"/>
                  <w:vMerge w:val="restart"/>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排放工况</w:t>
                  </w:r>
                </w:p>
              </w:tc>
              <w:tc>
                <w:tcPr>
                  <w:tcW w:w="899"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6" w:type="dxa"/>
                  <w:vMerge w:val="continue"/>
                  <w:shd w:val="clear" w:color="auto" w:fill="auto"/>
                  <w:vAlign w:val="center"/>
                </w:tcPr>
                <w:p>
                  <w:pPr>
                    <w:jc w:val="center"/>
                    <w:rPr>
                      <w:rFonts w:hint="default" w:ascii="Times New Roman" w:hAnsi="Times New Roman" w:cs="Times New Roman"/>
                      <w:b/>
                      <w:bCs/>
                      <w:sz w:val="21"/>
                      <w:szCs w:val="21"/>
                    </w:rPr>
                  </w:pPr>
                </w:p>
              </w:tc>
              <w:tc>
                <w:tcPr>
                  <w:tcW w:w="833"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经度</w:t>
                  </w:r>
                </w:p>
              </w:tc>
              <w:tc>
                <w:tcPr>
                  <w:tcW w:w="800" w:type="dxa"/>
                  <w:shd w:val="clear" w:color="auto" w:fill="auto"/>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纬度</w:t>
                  </w:r>
                </w:p>
              </w:tc>
              <w:tc>
                <w:tcPr>
                  <w:tcW w:w="694" w:type="dxa"/>
                  <w:vMerge w:val="continue"/>
                  <w:shd w:val="clear" w:color="auto" w:fill="auto"/>
                  <w:vAlign w:val="center"/>
                </w:tcPr>
                <w:p>
                  <w:pPr>
                    <w:jc w:val="center"/>
                    <w:rPr>
                      <w:rFonts w:hint="default" w:ascii="Times New Roman" w:hAnsi="Times New Roman" w:cs="Times New Roman"/>
                      <w:b/>
                      <w:bCs/>
                      <w:sz w:val="21"/>
                      <w:szCs w:val="21"/>
                    </w:rPr>
                  </w:pPr>
                </w:p>
              </w:tc>
              <w:tc>
                <w:tcPr>
                  <w:tcW w:w="600" w:type="dxa"/>
                  <w:vMerge w:val="continue"/>
                  <w:shd w:val="clear" w:color="auto" w:fill="auto"/>
                  <w:vAlign w:val="center"/>
                </w:tcPr>
                <w:p>
                  <w:pPr>
                    <w:jc w:val="center"/>
                    <w:rPr>
                      <w:rFonts w:hint="default" w:ascii="Times New Roman" w:hAnsi="Times New Roman" w:cs="Times New Roman"/>
                      <w:b/>
                      <w:bCs/>
                      <w:sz w:val="21"/>
                      <w:szCs w:val="21"/>
                    </w:rPr>
                  </w:pPr>
                </w:p>
              </w:tc>
              <w:tc>
                <w:tcPr>
                  <w:tcW w:w="733" w:type="dxa"/>
                  <w:vMerge w:val="continue"/>
                  <w:shd w:val="clear" w:color="auto" w:fill="auto"/>
                  <w:vAlign w:val="center"/>
                </w:tcPr>
                <w:p>
                  <w:pPr>
                    <w:jc w:val="center"/>
                    <w:rPr>
                      <w:rFonts w:hint="default" w:ascii="Times New Roman" w:hAnsi="Times New Roman" w:cs="Times New Roman"/>
                      <w:b/>
                      <w:bCs/>
                      <w:sz w:val="21"/>
                      <w:szCs w:val="21"/>
                    </w:rPr>
                  </w:pPr>
                </w:p>
              </w:tc>
              <w:tc>
                <w:tcPr>
                  <w:tcW w:w="680" w:type="dxa"/>
                  <w:vMerge w:val="continue"/>
                  <w:shd w:val="clear" w:color="auto" w:fill="auto"/>
                  <w:vAlign w:val="center"/>
                </w:tcPr>
                <w:p>
                  <w:pPr>
                    <w:jc w:val="center"/>
                    <w:rPr>
                      <w:rFonts w:hint="default" w:ascii="Times New Roman" w:hAnsi="Times New Roman" w:cs="Times New Roman"/>
                      <w:b/>
                      <w:bCs/>
                      <w:sz w:val="21"/>
                      <w:szCs w:val="21"/>
                    </w:rPr>
                  </w:pPr>
                </w:p>
              </w:tc>
              <w:tc>
                <w:tcPr>
                  <w:tcW w:w="747" w:type="dxa"/>
                  <w:vMerge w:val="continue"/>
                  <w:shd w:val="clear" w:color="auto" w:fill="auto"/>
                  <w:vAlign w:val="center"/>
                </w:tcPr>
                <w:p>
                  <w:pPr>
                    <w:jc w:val="center"/>
                    <w:rPr>
                      <w:rFonts w:hint="default" w:ascii="Times New Roman" w:hAnsi="Times New Roman" w:cs="Times New Roman"/>
                      <w:b/>
                      <w:bCs/>
                      <w:sz w:val="21"/>
                      <w:szCs w:val="21"/>
                    </w:rPr>
                  </w:pPr>
                </w:p>
              </w:tc>
              <w:tc>
                <w:tcPr>
                  <w:tcW w:w="613" w:type="dxa"/>
                  <w:vMerge w:val="continue"/>
                  <w:shd w:val="clear" w:color="auto" w:fill="auto"/>
                  <w:vAlign w:val="center"/>
                </w:tcPr>
                <w:p>
                  <w:pPr>
                    <w:jc w:val="center"/>
                    <w:rPr>
                      <w:rFonts w:hint="default" w:ascii="Times New Roman" w:hAnsi="Times New Roman" w:cs="Times New Roman"/>
                      <w:b/>
                      <w:bCs/>
                      <w:sz w:val="21"/>
                      <w:szCs w:val="21"/>
                    </w:rPr>
                  </w:pPr>
                </w:p>
              </w:tc>
              <w:tc>
                <w:tcPr>
                  <w:tcW w:w="747" w:type="dxa"/>
                  <w:vMerge w:val="continue"/>
                  <w:shd w:val="clear" w:color="auto" w:fill="auto"/>
                  <w:vAlign w:val="center"/>
                </w:tcPr>
                <w:p>
                  <w:pPr>
                    <w:jc w:val="center"/>
                    <w:rPr>
                      <w:rFonts w:hint="default" w:ascii="Times New Roman" w:hAnsi="Times New Roman" w:cs="Times New Roman"/>
                      <w:b/>
                      <w:bCs/>
                      <w:sz w:val="21"/>
                      <w:szCs w:val="21"/>
                    </w:rPr>
                  </w:pPr>
                </w:p>
              </w:tc>
              <w:tc>
                <w:tcPr>
                  <w:tcW w:w="899" w:type="dxa"/>
                  <w:shd w:val="clear" w:color="auto" w:fill="auto"/>
                  <w:vAlign w:val="center"/>
                </w:tcPr>
                <w:p>
                  <w:pPr>
                    <w:jc w:val="center"/>
                    <w:rPr>
                      <w:rFonts w:hint="default" w:ascii="Times New Roman" w:hAnsi="Times New Roman" w:cs="Times New Roman"/>
                      <w:b/>
                      <w:sz w:val="21"/>
                      <w:szCs w:val="21"/>
                    </w:rPr>
                  </w:pPr>
                  <w:r>
                    <w:rPr>
                      <w:rFonts w:hint="default" w:ascii="Times New Roman" w:hAnsi="Times New Roman" w:cs="Times New Roman"/>
                      <w:b/>
                      <w:bCs/>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6"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生产车间</w:t>
                  </w:r>
                </w:p>
              </w:tc>
              <w:tc>
                <w:tcPr>
                  <w:tcW w:w="833" w:type="dxa"/>
                  <w:shd w:val="clear" w:color="auto" w:fill="auto"/>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19.</w:t>
                  </w:r>
                  <w:r>
                    <w:rPr>
                      <w:rFonts w:hint="eastAsia" w:ascii="Times New Roman" w:hAnsi="Times New Roman" w:cs="Times New Roman"/>
                      <w:sz w:val="21"/>
                      <w:szCs w:val="21"/>
                      <w:lang w:val="en-US" w:eastAsia="zh-CN"/>
                    </w:rPr>
                    <w:t>784279</w:t>
                  </w:r>
                  <w:r>
                    <w:rPr>
                      <w:rFonts w:hint="default" w:ascii="Times New Roman" w:hAnsi="Times New Roman" w:cs="Times New Roman"/>
                      <w:sz w:val="21"/>
                      <w:szCs w:val="21"/>
                    </w:rPr>
                    <w:t>°</w:t>
                  </w:r>
                </w:p>
              </w:tc>
              <w:tc>
                <w:tcPr>
                  <w:tcW w:w="800" w:type="dxa"/>
                  <w:shd w:val="clear" w:color="auto" w:fill="auto"/>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31</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723516</w:t>
                  </w:r>
                  <w:r>
                    <w:rPr>
                      <w:rFonts w:hint="default" w:ascii="Times New Roman" w:hAnsi="Times New Roman" w:cs="Times New Roman"/>
                      <w:sz w:val="21"/>
                      <w:szCs w:val="21"/>
                    </w:rPr>
                    <w:t>°</w:t>
                  </w:r>
                </w:p>
              </w:tc>
              <w:tc>
                <w:tcPr>
                  <w:tcW w:w="694"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600"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5</w:t>
                  </w:r>
                  <w:r>
                    <w:rPr>
                      <w:rFonts w:hint="default" w:ascii="Times New Roman" w:hAnsi="Times New Roman" w:cs="Times New Roman"/>
                      <w:sz w:val="21"/>
                      <w:szCs w:val="21"/>
                    </w:rPr>
                    <w:t>0</w:t>
                  </w:r>
                </w:p>
              </w:tc>
              <w:tc>
                <w:tcPr>
                  <w:tcW w:w="733"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w:t>
                  </w:r>
                  <w:r>
                    <w:rPr>
                      <w:rFonts w:hint="eastAsia" w:ascii="Times New Roman" w:hAnsi="Times New Roman" w:cs="Times New Roman"/>
                      <w:sz w:val="21"/>
                      <w:szCs w:val="21"/>
                      <w:lang w:val="en-US" w:eastAsia="zh-CN"/>
                    </w:rPr>
                    <w:t>0</w:t>
                  </w:r>
                </w:p>
              </w:tc>
              <w:tc>
                <w:tcPr>
                  <w:tcW w:w="680"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0</w:t>
                  </w:r>
                </w:p>
              </w:tc>
              <w:tc>
                <w:tcPr>
                  <w:tcW w:w="747" w:type="dxa"/>
                  <w:shd w:val="clear" w:color="auto" w:fill="auto"/>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8</w:t>
                  </w:r>
                </w:p>
              </w:tc>
              <w:tc>
                <w:tcPr>
                  <w:tcW w:w="613"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72</w:t>
                  </w:r>
                  <w:r>
                    <w:rPr>
                      <w:rFonts w:hint="default" w:ascii="Times New Roman" w:hAnsi="Times New Roman" w:cs="Times New Roman"/>
                      <w:sz w:val="21"/>
                      <w:szCs w:val="21"/>
                    </w:rPr>
                    <w:t>00</w:t>
                  </w:r>
                </w:p>
              </w:tc>
              <w:tc>
                <w:tcPr>
                  <w:tcW w:w="747" w:type="dxa"/>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连续</w:t>
                  </w:r>
                  <w:r>
                    <w:rPr>
                      <w:rFonts w:hint="default" w:ascii="Times New Roman" w:hAnsi="Times New Roman" w:cs="Times New Roman"/>
                      <w:sz w:val="21"/>
                      <w:szCs w:val="21"/>
                    </w:rPr>
                    <w:t>排放</w:t>
                  </w:r>
                </w:p>
              </w:tc>
              <w:tc>
                <w:tcPr>
                  <w:tcW w:w="899"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0.0139</w:t>
                  </w:r>
                </w:p>
              </w:tc>
            </w:tr>
          </w:tbl>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②估算模型参数</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估算模型参数见下表。</w:t>
            </w:r>
          </w:p>
          <w:p>
            <w:pPr>
              <w:spacing w:line="324" w:lineRule="auto"/>
              <w:ind w:firstLine="482"/>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表7-6估算模型参数</w:t>
            </w:r>
          </w:p>
          <w:tbl>
            <w:tblPr>
              <w:tblStyle w:val="15"/>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37"/>
              <w:gridCol w:w="3419"/>
              <w:gridCol w:w="30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blHeader/>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参数</w:t>
                  </w:r>
                </w:p>
              </w:tc>
              <w:tc>
                <w:tcPr>
                  <w:tcW w:w="3050" w:type="dxa"/>
                  <w:shd w:val="clear" w:color="auto" w:fill="FFFFFF"/>
                  <w:vAlign w:val="center"/>
                </w:tcPr>
                <w:p>
                  <w:pPr>
                    <w:pStyle w:val="43"/>
                    <w:spacing w:before="24" w:after="2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取值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城市/农村选项</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人口数（城市选项时）</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最高环境温度/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cs="Times New Roman"/>
                      <w:sz w:val="21"/>
                      <w:szCs w:val="21"/>
                    </w:rPr>
                    <w:t>37.2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最低环境温度/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cs="Times New Roman"/>
                      <w:sz w:val="21"/>
                      <w:szCs w:val="21"/>
                    </w:rPr>
                    <w:t>-5.7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土地利用类型</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5256" w:type="dxa"/>
                  <w:gridSpan w:val="2"/>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区域湿度条件</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潮湿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是否考虑地形</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考虑地形</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□是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eq \o\ac(</w:instrText>
                  </w:r>
                  <w:r>
                    <w:rPr>
                      <w:rFonts w:hint="default" w:ascii="Times New Roman" w:hAnsi="Times New Roman" w:cs="Times New Roman"/>
                      <w:position w:val="-4"/>
                      <w:sz w:val="31"/>
                      <w:szCs w:val="21"/>
                    </w:rPr>
                    <w:instrText xml:space="preserve">□</w:instrText>
                  </w:r>
                  <w:r>
                    <w:rPr>
                      <w:rFonts w:hint="default" w:ascii="Times New Roman" w:hAnsi="Times New Roman" w:cs="Times New Roman"/>
                      <w:position w:val="0"/>
                      <w:sz w:val="21"/>
                      <w:szCs w:val="21"/>
                    </w:rPr>
                    <w:instrText xml:space="preserve">,√)</w:instrText>
                  </w:r>
                  <w:r>
                    <w:rPr>
                      <w:rFonts w:hint="default" w:ascii="Times New Roman" w:hAnsi="Times New Roman" w:cs="Times New Roman"/>
                      <w:sz w:val="21"/>
                      <w:szCs w:val="21"/>
                    </w:rPr>
                    <w:fldChar w:fldCharType="end"/>
                  </w:r>
                  <w:r>
                    <w:rPr>
                      <w:rFonts w:hint="default" w:ascii="Times New Roman" w:hAnsi="Times New Roman" w:eastAsia="宋体" w:cs="Times New Roman"/>
                      <w:sz w:val="21"/>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地形数据分辨率 / m</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restart"/>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是否考虑岸线熏烟</w:t>
                  </w: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考虑岸线熏烟</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□是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eq \o\ac(</w:instrText>
                  </w:r>
                  <w:r>
                    <w:rPr>
                      <w:rFonts w:hint="default" w:ascii="Times New Roman" w:hAnsi="Times New Roman" w:cs="Times New Roman"/>
                      <w:position w:val="-4"/>
                      <w:sz w:val="31"/>
                      <w:szCs w:val="21"/>
                    </w:rPr>
                    <w:instrText xml:space="preserve">□</w:instrText>
                  </w:r>
                  <w:r>
                    <w:rPr>
                      <w:rFonts w:hint="default" w:ascii="Times New Roman" w:hAnsi="Times New Roman" w:cs="Times New Roman"/>
                      <w:position w:val="0"/>
                      <w:sz w:val="21"/>
                      <w:szCs w:val="21"/>
                    </w:rPr>
                    <w:instrText xml:space="preserve">,√)</w:instrText>
                  </w:r>
                  <w:r>
                    <w:rPr>
                      <w:rFonts w:hint="default" w:ascii="Times New Roman" w:hAnsi="Times New Roman" w:cs="Times New Roman"/>
                      <w:sz w:val="21"/>
                      <w:szCs w:val="21"/>
                    </w:rPr>
                    <w:fldChar w:fldCharType="end"/>
                  </w:r>
                  <w:r>
                    <w:rPr>
                      <w:rFonts w:hint="default" w:ascii="Times New Roman" w:hAnsi="Times New Roman" w:eastAsia="宋体" w:cs="Times New Roman"/>
                      <w:sz w:val="21"/>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岸线距离/ km</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jc w:val="center"/>
              </w:trPr>
              <w:tc>
                <w:tcPr>
                  <w:tcW w:w="1837" w:type="dxa"/>
                  <w:vMerge w:val="continue"/>
                  <w:shd w:val="clear" w:color="auto" w:fill="FFFFFF"/>
                  <w:vAlign w:val="center"/>
                </w:tcPr>
                <w:p>
                  <w:pPr>
                    <w:pStyle w:val="43"/>
                    <w:spacing w:before="24" w:after="24"/>
                    <w:rPr>
                      <w:rFonts w:hint="default" w:ascii="Times New Roman" w:hAnsi="Times New Roman" w:eastAsia="宋体" w:cs="Times New Roman"/>
                      <w:sz w:val="21"/>
                      <w:szCs w:val="21"/>
                    </w:rPr>
                  </w:pPr>
                </w:p>
              </w:tc>
              <w:tc>
                <w:tcPr>
                  <w:tcW w:w="3419"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岸线方向/ °</w:t>
                  </w:r>
                </w:p>
              </w:tc>
              <w:tc>
                <w:tcPr>
                  <w:tcW w:w="3050" w:type="dxa"/>
                  <w:shd w:val="clear" w:color="auto" w:fill="FFFFFF"/>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(2)估算模型计算结果</w:t>
            </w:r>
          </w:p>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本项目估算模型计算结果见下表。</w:t>
            </w:r>
          </w:p>
          <w:p>
            <w:pPr>
              <w:snapToGrid w:val="0"/>
              <w:spacing w:line="480" w:lineRule="exact"/>
              <w:ind w:firstLine="482" w:firstLineChars="200"/>
              <w:jc w:val="center"/>
              <w:rPr>
                <w:rFonts w:hint="default" w:ascii="Times New Roman" w:hAnsi="Times New Roman" w:cs="Times New Roman"/>
                <w:sz w:val="24"/>
                <w:szCs w:val="24"/>
              </w:rPr>
            </w:pPr>
            <w:r>
              <w:rPr>
                <w:rFonts w:hint="default" w:ascii="Times New Roman" w:hAnsi="Times New Roman" w:cs="Times New Roman"/>
                <w:b/>
                <w:bCs/>
                <w:sz w:val="24"/>
                <w:szCs w:val="24"/>
              </w:rPr>
              <w:t>表7-7估算模型计算结果</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6"/>
              <w:gridCol w:w="1069"/>
              <w:gridCol w:w="1358"/>
              <w:gridCol w:w="1175"/>
              <w:gridCol w:w="1263"/>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33" w:type="dxa"/>
                  <w:vMerge w:val="restart"/>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下风向距离/m</w:t>
                  </w:r>
                </w:p>
              </w:tc>
              <w:tc>
                <w:tcPr>
                  <w:tcW w:w="2305"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#排气筒</w:t>
                  </w:r>
                </w:p>
              </w:tc>
              <w:tc>
                <w:tcPr>
                  <w:tcW w:w="2533"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#排气筒</w:t>
                  </w:r>
                </w:p>
              </w:tc>
              <w:tc>
                <w:tcPr>
                  <w:tcW w:w="2231"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vMerge w:val="continue"/>
                  <w:shd w:val="clear" w:color="auto" w:fill="FFFFFF"/>
                  <w:vAlign w:val="center"/>
                </w:tcPr>
                <w:p>
                  <w:pPr>
                    <w:pStyle w:val="43"/>
                    <w:spacing w:before="24" w:after="24"/>
                    <w:jc w:val="center"/>
                    <w:rPr>
                      <w:rFonts w:hint="default" w:ascii="Times New Roman" w:hAnsi="Times New Roman" w:eastAsia="宋体" w:cs="Times New Roman"/>
                      <w:sz w:val="21"/>
                      <w:szCs w:val="21"/>
                    </w:rPr>
                  </w:pPr>
                </w:p>
              </w:tc>
              <w:tc>
                <w:tcPr>
                  <w:tcW w:w="2305"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w:t>
                  </w:r>
                </w:p>
              </w:tc>
              <w:tc>
                <w:tcPr>
                  <w:tcW w:w="2533"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vertAlign w:val="subscript"/>
                      <w:lang w:val="en-US" w:eastAsia="zh-CN"/>
                    </w:rPr>
                  </w:pPr>
                  <w:r>
                    <w:rPr>
                      <w:rFonts w:hint="eastAsia" w:ascii="Times New Roman" w:hAnsi="Times New Roman" w:eastAsia="宋体" w:cs="Times New Roman"/>
                      <w:sz w:val="21"/>
                      <w:szCs w:val="21"/>
                      <w:lang w:val="en-US" w:eastAsia="zh-CN"/>
                    </w:rPr>
                    <w:t>NO</w:t>
                  </w:r>
                  <w:r>
                    <w:rPr>
                      <w:rFonts w:hint="eastAsia" w:ascii="Times New Roman" w:hAnsi="Times New Roman" w:eastAsia="宋体" w:cs="Times New Roman"/>
                      <w:sz w:val="21"/>
                      <w:szCs w:val="21"/>
                      <w:vertAlign w:val="subscript"/>
                      <w:lang w:val="en-US" w:eastAsia="zh-CN"/>
                    </w:rPr>
                    <w:t>x</w:t>
                  </w:r>
                </w:p>
              </w:tc>
              <w:tc>
                <w:tcPr>
                  <w:tcW w:w="2231"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vMerge w:val="continue"/>
                  <w:shd w:val="clear" w:color="auto" w:fill="FFFFFF"/>
                  <w:vAlign w:val="center"/>
                </w:tcPr>
                <w:p>
                  <w:pPr>
                    <w:pStyle w:val="43"/>
                    <w:spacing w:before="24" w:after="24"/>
                    <w:jc w:val="center"/>
                    <w:rPr>
                      <w:rFonts w:hint="default" w:ascii="Times New Roman" w:hAnsi="Times New Roman" w:eastAsia="宋体" w:cs="Times New Roman"/>
                      <w:sz w:val="21"/>
                      <w:szCs w:val="21"/>
                    </w:rPr>
                  </w:pPr>
                </w:p>
              </w:tc>
              <w:tc>
                <w:tcPr>
                  <w:tcW w:w="1236"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069"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358"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175"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263"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968"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0.0084</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1.86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0.52</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0.017</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2.32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0.0078</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0.65</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0.031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0.014</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3.1</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0.86</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0.041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0.015</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3.37</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0.94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0.042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3.72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1.04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0.041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3.72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1.04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0.037</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0.016</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3.63</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1.01</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0.035</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0.015</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3.42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0.95</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0.032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0.013</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2.96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0.0099</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0.82</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0.028</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2.52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0.0084</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0.7</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0.025</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0.0097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2.16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0.6</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0.023</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0.0086</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1.91</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0.0064</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0.53</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0.0085</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1.88</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0.0063</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0.52</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0.0075</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1.67</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0.0056</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0.47</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0.0068</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1.51</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0.0051</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0.42</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0.018</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0.0064</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1.41</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0.0047</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0.39</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0.017</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0.0063</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1.39</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0.0047</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0.39</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0.016</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0.0061</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1.36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0.0046</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0.38</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0.015</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0.0074</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1.64</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0.0055</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0.46</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0.015</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0.0072</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0.0053</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0.45</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0.014</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0.0075</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0.0055</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0.46</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0.013</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0.0073</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1.62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0.0054</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0.45</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0.013</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0.0072</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1.59</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0.0053</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0.0069</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1.53</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0.0051</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0.43</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0.0068</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1.51</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0.42</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1.48</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0.005</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0.41</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33"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2500</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0.0066</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1.46</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0.0049</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0.41</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0.011</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2"/>
                      <w:szCs w:val="22"/>
                      <w:u w:val="none"/>
                      <w:lang w:val="en-US" w:eastAsia="zh-CN" w:bidi="ar"/>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下风向最大质量浓度及占标率/%</w:t>
                  </w:r>
                </w:p>
              </w:tc>
              <w:tc>
                <w:tcPr>
                  <w:tcW w:w="1236"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0.017</w:t>
                  </w:r>
                </w:p>
              </w:tc>
              <w:tc>
                <w:tcPr>
                  <w:tcW w:w="1069"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3.72</w:t>
                  </w:r>
                </w:p>
              </w:tc>
              <w:tc>
                <w:tcPr>
                  <w:tcW w:w="135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0.012</w:t>
                  </w:r>
                </w:p>
              </w:tc>
              <w:tc>
                <w:tcPr>
                  <w:tcW w:w="117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1.04</w:t>
                  </w:r>
                </w:p>
              </w:tc>
              <w:tc>
                <w:tcPr>
                  <w:tcW w:w="12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color w:val="000000"/>
                      <w:kern w:val="0"/>
                      <w:sz w:val="22"/>
                      <w:szCs w:val="22"/>
                      <w:u w:val="none"/>
                      <w:lang w:val="en-US" w:eastAsia="zh-CN" w:bidi="ar"/>
                    </w:rPr>
                    <w:t>0.042</w:t>
                  </w:r>
                </w:p>
              </w:tc>
              <w:tc>
                <w:tcPr>
                  <w:tcW w:w="96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3"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D10%最远距离/m</w:t>
                  </w:r>
                </w:p>
              </w:tc>
              <w:tc>
                <w:tcPr>
                  <w:tcW w:w="2305"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533"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1" w:type="dxa"/>
                  <w:gridSpan w:val="2"/>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pStyle w:val="3"/>
              <w:tabs>
                <w:tab w:val="left" w:pos="7545"/>
              </w:tabs>
              <w:ind w:firstLine="482"/>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 7-8大气污染物最大占标率计算表</w:t>
            </w:r>
          </w:p>
          <w:tbl>
            <w:tblPr>
              <w:tblStyle w:val="15"/>
              <w:tblW w:w="830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8"/>
              <w:gridCol w:w="1185"/>
              <w:gridCol w:w="1591"/>
              <w:gridCol w:w="968"/>
              <w:gridCol w:w="1363"/>
              <w:gridCol w:w="1010"/>
              <w:gridCol w:w="12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123" w:type="dxa"/>
                  <w:gridSpan w:val="2"/>
                  <w:shd w:val="clear" w:color="auto" w:fill="auto"/>
                  <w:vAlign w:val="center"/>
                </w:tcPr>
                <w:p>
                  <w:pPr>
                    <w:pStyle w:val="23"/>
                    <w:rPr>
                      <w:rFonts w:hint="default" w:ascii="Times New Roman" w:hAnsi="Times New Roman" w:cs="Times New Roman"/>
                      <w:b/>
                      <w:sz w:val="21"/>
                      <w:szCs w:val="21"/>
                    </w:rPr>
                  </w:pPr>
                  <w:r>
                    <w:rPr>
                      <w:rFonts w:hint="default" w:ascii="Times New Roman" w:hAnsi="Times New Roman" w:cs="Times New Roman"/>
                      <w:b/>
                      <w:sz w:val="21"/>
                      <w:szCs w:val="21"/>
                    </w:rPr>
                    <w:t>分类</w:t>
                  </w:r>
                </w:p>
              </w:tc>
              <w:tc>
                <w:tcPr>
                  <w:tcW w:w="1591"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污染物名称</w:t>
                  </w:r>
                </w:p>
              </w:tc>
              <w:tc>
                <w:tcPr>
                  <w:tcW w:w="968"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距离（m）</w:t>
                  </w:r>
                </w:p>
              </w:tc>
              <w:tc>
                <w:tcPr>
                  <w:tcW w:w="1363"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C</w:t>
                  </w:r>
                  <w:r>
                    <w:rPr>
                      <w:rFonts w:hint="default" w:ascii="Times New Roman" w:hAnsi="Times New Roman" w:cs="Times New Roman"/>
                      <w:b/>
                      <w:bCs/>
                      <w:sz w:val="21"/>
                      <w:szCs w:val="21"/>
                      <w:vertAlign w:val="subscript"/>
                    </w:rPr>
                    <w:t>i</w:t>
                  </w:r>
                  <w:r>
                    <w:rPr>
                      <w:rFonts w:hint="default" w:ascii="Times New Roman" w:hAnsi="Times New Roman" w:cs="Times New Roman"/>
                      <w:b/>
                      <w:bCs/>
                      <w:sz w:val="21"/>
                      <w:szCs w:val="21"/>
                    </w:rPr>
                    <w:t>（ug/m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c>
                <w:tcPr>
                  <w:tcW w:w="1010"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P</w:t>
                  </w:r>
                  <w:r>
                    <w:rPr>
                      <w:rFonts w:hint="default" w:ascii="Times New Roman" w:hAnsi="Times New Roman" w:cs="Times New Roman"/>
                      <w:b/>
                      <w:bCs/>
                      <w:sz w:val="21"/>
                      <w:szCs w:val="21"/>
                      <w:vertAlign w:val="subscript"/>
                    </w:rPr>
                    <w:t>i</w:t>
                  </w:r>
                  <w:r>
                    <w:rPr>
                      <w:rFonts w:hint="default" w:ascii="Times New Roman" w:hAnsi="Times New Roman" w:cs="Times New Roman"/>
                      <w:b/>
                      <w:bCs/>
                      <w:sz w:val="21"/>
                      <w:szCs w:val="21"/>
                    </w:rPr>
                    <w:t>（%）</w:t>
                  </w:r>
                </w:p>
              </w:tc>
              <w:tc>
                <w:tcPr>
                  <w:tcW w:w="1247" w:type="dxa"/>
                  <w:shd w:val="clear" w:color="auto" w:fill="auto"/>
                  <w:vAlign w:val="center"/>
                </w:tcPr>
                <w:p>
                  <w:pPr>
                    <w:pStyle w:val="23"/>
                    <w:rPr>
                      <w:rFonts w:hint="default" w:ascii="Times New Roman" w:hAnsi="Times New Roman" w:cs="Times New Roman"/>
                      <w:b/>
                      <w:bCs/>
                      <w:sz w:val="21"/>
                      <w:szCs w:val="21"/>
                    </w:rPr>
                  </w:pPr>
                  <w:r>
                    <w:rPr>
                      <w:rFonts w:hint="default" w:ascii="Times New Roman" w:hAnsi="Times New Roman" w:cs="Times New Roman"/>
                      <w:b/>
                      <w:bCs/>
                      <w:sz w:val="21"/>
                      <w:szCs w:val="21"/>
                    </w:rPr>
                    <w:t>C</w:t>
                  </w:r>
                  <w:r>
                    <w:rPr>
                      <w:rFonts w:hint="default" w:ascii="Times New Roman" w:hAnsi="Times New Roman" w:cs="Times New Roman"/>
                      <w:b/>
                      <w:bCs/>
                      <w:sz w:val="21"/>
                      <w:szCs w:val="21"/>
                      <w:vertAlign w:val="subscript"/>
                    </w:rPr>
                    <w:t>0i</w:t>
                  </w:r>
                  <w:r>
                    <w:rPr>
                      <w:rFonts w:hint="default" w:ascii="Times New Roman" w:hAnsi="Times New Roman" w:cs="Times New Roman"/>
                      <w:b/>
                      <w:bCs/>
                      <w:sz w:val="21"/>
                      <w:szCs w:val="21"/>
                    </w:rPr>
                    <w:t>（ug/m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38" w:type="dxa"/>
                  <w:vMerge w:val="restart"/>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有组织废气</w:t>
                  </w:r>
                </w:p>
              </w:tc>
              <w:tc>
                <w:tcPr>
                  <w:tcW w:w="1185" w:type="dxa"/>
                  <w:vMerge w:val="restart"/>
                  <w:shd w:val="clear" w:color="auto" w:fill="auto"/>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#排气筒</w:t>
                  </w:r>
                </w:p>
              </w:tc>
              <w:tc>
                <w:tcPr>
                  <w:tcW w:w="1591"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颗粒物</w:t>
                  </w:r>
                </w:p>
              </w:tc>
              <w:tc>
                <w:tcPr>
                  <w:tcW w:w="968"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65</w:t>
                  </w:r>
                </w:p>
              </w:tc>
              <w:tc>
                <w:tcPr>
                  <w:tcW w:w="136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0.017</w:t>
                  </w:r>
                </w:p>
              </w:tc>
              <w:tc>
                <w:tcPr>
                  <w:tcW w:w="101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3.72</w:t>
                  </w:r>
                </w:p>
              </w:tc>
              <w:tc>
                <w:tcPr>
                  <w:tcW w:w="124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45</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938" w:type="dxa"/>
                  <w:vMerge w:val="continue"/>
                  <w:shd w:val="clear" w:color="auto" w:fill="auto"/>
                  <w:vAlign w:val="center"/>
                </w:tcPr>
                <w:p>
                  <w:pPr>
                    <w:jc w:val="center"/>
                    <w:rPr>
                      <w:rFonts w:hint="default" w:ascii="Times New Roman" w:hAnsi="Times New Roman" w:cs="Times New Roman"/>
                      <w:sz w:val="21"/>
                      <w:szCs w:val="21"/>
                    </w:rPr>
                  </w:pPr>
                </w:p>
              </w:tc>
              <w:tc>
                <w:tcPr>
                  <w:tcW w:w="1185" w:type="dxa"/>
                  <w:vMerge w:val="continue"/>
                  <w:shd w:val="clear" w:color="auto" w:fill="auto"/>
                  <w:vAlign w:val="center"/>
                </w:tcPr>
                <w:p>
                  <w:pPr>
                    <w:jc w:val="center"/>
                    <w:rPr>
                      <w:rFonts w:hint="default" w:ascii="Times New Roman" w:hAnsi="Times New Roman" w:cs="Times New Roman"/>
                      <w:sz w:val="21"/>
                      <w:szCs w:val="21"/>
                    </w:rPr>
                  </w:pPr>
                </w:p>
              </w:tc>
              <w:tc>
                <w:tcPr>
                  <w:tcW w:w="1591"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NO</w:t>
                  </w:r>
                  <w:r>
                    <w:rPr>
                      <w:rFonts w:hint="eastAsia" w:ascii="Times New Roman" w:hAnsi="Times New Roman" w:cs="Times New Roman"/>
                      <w:sz w:val="21"/>
                      <w:szCs w:val="21"/>
                      <w:vertAlign w:val="subscript"/>
                      <w:lang w:val="en-US" w:eastAsia="zh-CN"/>
                    </w:rPr>
                    <w:t>x</w:t>
                  </w:r>
                </w:p>
              </w:tc>
              <w:tc>
                <w:tcPr>
                  <w:tcW w:w="968"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62</w:t>
                  </w:r>
                </w:p>
              </w:tc>
              <w:tc>
                <w:tcPr>
                  <w:tcW w:w="136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0.012</w:t>
                  </w:r>
                </w:p>
              </w:tc>
              <w:tc>
                <w:tcPr>
                  <w:tcW w:w="101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1.04</w:t>
                  </w:r>
                </w:p>
              </w:tc>
              <w:tc>
                <w:tcPr>
                  <w:tcW w:w="124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938"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无组织废气</w:t>
                  </w:r>
                </w:p>
              </w:tc>
              <w:tc>
                <w:tcPr>
                  <w:tcW w:w="1185"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生产车间</w:t>
                  </w:r>
                </w:p>
              </w:tc>
              <w:tc>
                <w:tcPr>
                  <w:tcW w:w="1591" w:type="dxa"/>
                  <w:shd w:val="clear" w:color="auto" w:fill="auto"/>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颗粒物</w:t>
                  </w:r>
                </w:p>
              </w:tc>
              <w:tc>
                <w:tcPr>
                  <w:tcW w:w="968"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31</w:t>
                  </w:r>
                </w:p>
              </w:tc>
              <w:tc>
                <w:tcPr>
                  <w:tcW w:w="136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宋体" w:hAnsi="宋体" w:eastAsia="宋体" w:cs="宋体"/>
                      <w:i w:val="0"/>
                      <w:color w:val="000000"/>
                      <w:kern w:val="0"/>
                      <w:sz w:val="22"/>
                      <w:szCs w:val="22"/>
                      <w:u w:val="none"/>
                      <w:lang w:val="en-US" w:eastAsia="zh-CN" w:bidi="ar"/>
                    </w:rPr>
                    <w:t>0.042</w:t>
                  </w:r>
                </w:p>
              </w:tc>
              <w:tc>
                <w:tcPr>
                  <w:tcW w:w="101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sz w:val="21"/>
                      <w:szCs w:val="21"/>
                      <w:lang w:val="en-US"/>
                    </w:rPr>
                  </w:pPr>
                  <w:r>
                    <w:rPr>
                      <w:rFonts w:hint="eastAsia" w:ascii="宋体" w:hAnsi="宋体" w:eastAsia="宋体" w:cs="宋体"/>
                      <w:i w:val="0"/>
                      <w:color w:val="000000"/>
                      <w:kern w:val="0"/>
                      <w:sz w:val="22"/>
                      <w:szCs w:val="22"/>
                      <w:u w:val="none"/>
                      <w:lang w:val="en-US" w:eastAsia="zh-CN" w:bidi="ar"/>
                    </w:rPr>
                    <w:t>4.65</w:t>
                  </w:r>
                </w:p>
              </w:tc>
              <w:tc>
                <w:tcPr>
                  <w:tcW w:w="1247" w:type="dxa"/>
                  <w:shd w:val="clear" w:color="auto" w:fill="auto"/>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900</w:t>
                  </w: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根据《环境影响评价技术导则  大气环境》（HJ2.2-2018），本项目大气环境评价等级为二级。</w:t>
            </w:r>
            <w:bookmarkStart w:id="3" w:name="_GoBack"/>
            <w:bookmarkEnd w:id="3"/>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（3）卫生防护距离</w:t>
            </w:r>
          </w:p>
          <w:p>
            <w:pPr>
              <w:snapToGrid w:val="0"/>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根据《制定地方大气污染物排放标准的技术方法》（GB/T13201-91）中的工业企业卫生防护距离的制定方法确定企业的卫生防护距离，卫生防护距离计算公式：</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295525" cy="447675"/>
                  <wp:effectExtent l="0" t="0" r="0" b="8255"/>
                  <wp:docPr id="1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7"/>
                          <pic:cNvPicPr>
                            <a:picLocks noChangeAspect="1" noChangeArrowheads="1"/>
                          </pic:cNvPicPr>
                        </pic:nvPicPr>
                        <pic:blipFill>
                          <a:blip r:embed="rId9"/>
                          <a:srcRect/>
                          <a:stretch>
                            <a:fillRect/>
                          </a:stretch>
                        </pic:blipFill>
                        <pic:spPr>
                          <a:xfrm>
                            <a:off x="0" y="0"/>
                            <a:ext cx="2295525" cy="447675"/>
                          </a:xfrm>
                          <a:prstGeom prst="rect">
                            <a:avLst/>
                          </a:prstGeom>
                          <a:noFill/>
                          <a:ln w="9525">
                            <a:noFill/>
                            <a:miter lim="800000"/>
                            <a:headEnd/>
                            <a:tailEnd/>
                          </a:ln>
                          <a:effectLst/>
                        </pic:spPr>
                      </pic:pic>
                    </a:graphicData>
                  </a:graphic>
                </wp:inline>
              </w:drawing>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式中：C</w:t>
            </w:r>
            <w:r>
              <w:rPr>
                <w:rFonts w:hint="default" w:ascii="Times New Roman" w:hAnsi="Times New Roman" w:cs="Times New Roman"/>
                <w:sz w:val="24"/>
                <w:szCs w:val="24"/>
                <w:vertAlign w:val="subscript"/>
              </w:rPr>
              <w:t>m</w:t>
            </w:r>
            <w:r>
              <w:rPr>
                <w:rFonts w:hint="default" w:ascii="Times New Roman" w:hAnsi="Times New Roman" w:cs="Times New Roman"/>
                <w:sz w:val="24"/>
                <w:szCs w:val="24"/>
              </w:rPr>
              <w:t>——标准浓度限值，mg/m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360" w:lineRule="auto"/>
              <w:ind w:firstLine="1200" w:firstLineChars="500"/>
              <w:rPr>
                <w:rFonts w:hint="default" w:ascii="Times New Roman" w:hAnsi="Times New Roman" w:cs="Times New Roman"/>
                <w:sz w:val="24"/>
                <w:szCs w:val="24"/>
              </w:rPr>
            </w:pPr>
            <w:r>
              <w:rPr>
                <w:rFonts w:hint="default" w:ascii="Times New Roman" w:hAnsi="Times New Roman" w:cs="Times New Roman"/>
                <w:sz w:val="24"/>
                <w:szCs w:val="24"/>
              </w:rPr>
              <w:t>Q</w:t>
            </w:r>
            <w:r>
              <w:rPr>
                <w:rFonts w:hint="default" w:ascii="Times New Roman" w:hAnsi="Times New Roman" w:cs="Times New Roman"/>
                <w:sz w:val="24"/>
                <w:szCs w:val="24"/>
                <w:vertAlign w:val="subscript"/>
              </w:rPr>
              <w:t>c</w:t>
            </w:r>
            <w:r>
              <w:rPr>
                <w:rFonts w:hint="default" w:ascii="Times New Roman" w:hAnsi="Times New Roman" w:cs="Times New Roman"/>
                <w:sz w:val="24"/>
                <w:szCs w:val="24"/>
              </w:rPr>
              <w:t>——工业企业有害气体无组织排放量可以达到的控制水平，kg/h；</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r——有害气体无组织排放源所在生产单元的等效半径，m；</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L——工业企业所需的卫生防护距离，m；</w:t>
            </w:r>
          </w:p>
          <w:p>
            <w:pPr>
              <w:spacing w:line="360" w:lineRule="auto"/>
              <w:ind w:firstLine="1320" w:firstLineChars="550"/>
              <w:rPr>
                <w:rFonts w:hint="default" w:ascii="Times New Roman" w:hAnsi="Times New Roman" w:cs="Times New Roman"/>
                <w:sz w:val="24"/>
                <w:szCs w:val="24"/>
              </w:rPr>
            </w:pPr>
            <w:r>
              <w:rPr>
                <w:rFonts w:hint="default" w:ascii="Times New Roman" w:hAnsi="Times New Roman" w:cs="Times New Roman"/>
                <w:sz w:val="24"/>
                <w:szCs w:val="24"/>
              </w:rPr>
              <w:t>A、B、C、D——卫生防护距离计算系数，见表7-9。</w:t>
            </w:r>
          </w:p>
          <w:p>
            <w:pPr>
              <w:spacing w:line="360" w:lineRule="auto"/>
              <w:ind w:firstLine="482"/>
              <w:jc w:val="center"/>
              <w:rPr>
                <w:rFonts w:hint="default" w:ascii="Times New Roman" w:hAnsi="Times New Roman" w:cs="Times New Roman"/>
                <w:b/>
                <w:sz w:val="24"/>
                <w:szCs w:val="24"/>
              </w:rPr>
            </w:pPr>
            <w:r>
              <w:rPr>
                <w:rFonts w:hint="default" w:ascii="Times New Roman" w:hAnsi="Times New Roman" w:cs="Times New Roman"/>
                <w:b/>
                <w:sz w:val="24"/>
                <w:szCs w:val="24"/>
              </w:rPr>
              <w:t>表7-9 卫生防护距离计算系数</w:t>
            </w:r>
          </w:p>
          <w:tbl>
            <w:tblPr>
              <w:tblStyle w:val="15"/>
              <w:tblW w:w="8077"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5"/>
              <w:gridCol w:w="953"/>
              <w:gridCol w:w="716"/>
              <w:gridCol w:w="718"/>
              <w:gridCol w:w="717"/>
              <w:gridCol w:w="709"/>
              <w:gridCol w:w="710"/>
              <w:gridCol w:w="709"/>
              <w:gridCol w:w="710"/>
              <w:gridCol w:w="710"/>
              <w:gridCol w:w="7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计算系数</w:t>
                  </w:r>
                </w:p>
              </w:tc>
              <w:tc>
                <w:tcPr>
                  <w:tcW w:w="953" w:type="dxa"/>
                  <w:vMerge w:val="restart"/>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5年平均风速（m/s）</w:t>
                  </w:r>
                </w:p>
              </w:tc>
              <w:tc>
                <w:tcPr>
                  <w:tcW w:w="6409" w:type="dxa"/>
                  <w:gridSpan w:val="9"/>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卫生防护距离L(m)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2151"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L≤1000</w:t>
                  </w:r>
                </w:p>
              </w:tc>
              <w:tc>
                <w:tcPr>
                  <w:tcW w:w="2128"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1000＜L≤2000</w:t>
                  </w:r>
                </w:p>
              </w:tc>
              <w:tc>
                <w:tcPr>
                  <w:tcW w:w="2130" w:type="dxa"/>
                  <w:gridSpan w:val="3"/>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L＞2000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6409" w:type="dxa"/>
                  <w:gridSpan w:val="9"/>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工业大气污染源构成类别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953" w:type="dxa"/>
                  <w:vMerge w:val="continue"/>
                  <w:vAlign w:val="center"/>
                </w:tcPr>
                <w:p>
                  <w:pPr>
                    <w:snapToGrid w:val="0"/>
                    <w:spacing w:line="320" w:lineRule="atLeast"/>
                    <w:jc w:val="center"/>
                    <w:rPr>
                      <w:rFonts w:hint="default" w:ascii="Times New Roman" w:hAnsi="Times New Roman" w:cs="Times New Roman"/>
                      <w:b/>
                      <w:bCs/>
                      <w:sz w:val="21"/>
                      <w:szCs w:val="21"/>
                    </w:rPr>
                  </w:pPr>
                </w:p>
              </w:tc>
              <w:tc>
                <w:tcPr>
                  <w:tcW w:w="716"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8"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17"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c>
                <w:tcPr>
                  <w:tcW w:w="709"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09"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Ⅰ</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Ⅱ</w:t>
                  </w:r>
                </w:p>
              </w:tc>
              <w:tc>
                <w:tcPr>
                  <w:tcW w:w="710" w:type="dxa"/>
                  <w:vAlign w:val="center"/>
                </w:tcPr>
                <w:p>
                  <w:pPr>
                    <w:snapToGrid w:val="0"/>
                    <w:spacing w:line="320" w:lineRule="atLeast"/>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A</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16"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8"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716"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700</w:t>
                  </w:r>
                </w:p>
              </w:tc>
              <w:tc>
                <w:tcPr>
                  <w:tcW w:w="718" w:type="dxa"/>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470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700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470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380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vAlign w:val="center"/>
                </w:tcPr>
                <w:p>
                  <w:pPr>
                    <w:snapToGrid w:val="0"/>
                    <w:spacing w:line="320" w:lineRule="atLeast"/>
                    <w:jc w:val="center"/>
                    <w:rPr>
                      <w:rFonts w:hint="default" w:ascii="Times New Roman" w:hAnsi="Times New Roman" w:cs="Times New Roman"/>
                      <w:sz w:val="21"/>
                      <w:szCs w:val="21"/>
                    </w:rPr>
                  </w:pP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716"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530</w:t>
                  </w:r>
                </w:p>
              </w:tc>
              <w:tc>
                <w:tcPr>
                  <w:tcW w:w="718"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17"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260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530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709"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260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290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190</w:t>
                  </w:r>
                </w:p>
              </w:tc>
              <w:tc>
                <w:tcPr>
                  <w:tcW w:w="710"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B</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0.021</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0.036</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0.036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C</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1.85</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1.79</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1.85</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restart"/>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D</w:t>
                  </w:r>
                </w:p>
              </w:tc>
              <w:tc>
                <w:tcPr>
                  <w:tcW w:w="953" w:type="dxa"/>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0.78</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0.78</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15" w:type="dxa"/>
                  <w:vMerge w:val="continue"/>
                  <w:shd w:val="clear" w:color="auto" w:fill="auto"/>
                  <w:vAlign w:val="center"/>
                </w:tcPr>
                <w:p>
                  <w:pPr>
                    <w:snapToGrid w:val="0"/>
                    <w:spacing w:line="320" w:lineRule="atLeast"/>
                    <w:jc w:val="center"/>
                    <w:rPr>
                      <w:rFonts w:hint="default" w:ascii="Times New Roman" w:hAnsi="Times New Roman" w:cs="Times New Roman"/>
                      <w:sz w:val="21"/>
                      <w:szCs w:val="21"/>
                    </w:rPr>
                  </w:pPr>
                </w:p>
              </w:tc>
              <w:tc>
                <w:tcPr>
                  <w:tcW w:w="953" w:type="dxa"/>
                  <w:shd w:val="clear" w:color="auto" w:fill="auto"/>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51" w:type="dxa"/>
                  <w:gridSpan w:val="3"/>
                  <w:shd w:val="clear" w:color="auto" w:fill="BFBFBF"/>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0.84</w:t>
                  </w:r>
                </w:p>
              </w:tc>
              <w:tc>
                <w:tcPr>
                  <w:tcW w:w="2128"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0.84</w:t>
                  </w:r>
                </w:p>
              </w:tc>
              <w:tc>
                <w:tcPr>
                  <w:tcW w:w="2130" w:type="dxa"/>
                  <w:gridSpan w:val="3"/>
                  <w:vAlign w:val="center"/>
                </w:tcPr>
                <w:p>
                  <w:pPr>
                    <w:snapToGrid w:val="0"/>
                    <w:spacing w:line="32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0.76</w:t>
                  </w:r>
                </w:p>
              </w:tc>
            </w:tr>
          </w:tbl>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《制定地方大气污染物排放标准的技术方法》（GB/T13201-91）中的工业企业卫生防护距离公式进行计算，卫生防护距离所用参数和计算结果见表7-10。</w:t>
            </w:r>
          </w:p>
          <w:p>
            <w:pPr>
              <w:ind w:firstLine="482"/>
              <w:jc w:val="center"/>
              <w:rPr>
                <w:rFonts w:hint="default" w:ascii="Times New Roman" w:hAnsi="Times New Roman" w:cs="Times New Roman"/>
                <w:b/>
                <w:sz w:val="24"/>
                <w:szCs w:val="24"/>
              </w:rPr>
            </w:pPr>
            <w:r>
              <w:rPr>
                <w:rFonts w:hint="default" w:ascii="Times New Roman" w:hAnsi="Times New Roman" w:cs="Times New Roman"/>
                <w:b/>
                <w:sz w:val="24"/>
                <w:szCs w:val="24"/>
              </w:rPr>
              <w:t>表7-10 卫生防护距离计算参数和结果表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010"/>
              <w:gridCol w:w="1038"/>
              <w:gridCol w:w="912"/>
              <w:gridCol w:w="1129"/>
              <w:gridCol w:w="1363"/>
              <w:gridCol w:w="89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62"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污染面源</w:t>
                  </w:r>
                </w:p>
              </w:tc>
              <w:tc>
                <w:tcPr>
                  <w:tcW w:w="1010"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污染物名称</w:t>
                  </w:r>
                </w:p>
              </w:tc>
              <w:tc>
                <w:tcPr>
                  <w:tcW w:w="1038"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排放速率</w:t>
                  </w:r>
                </w:p>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（kg/h）</w:t>
                  </w:r>
                </w:p>
              </w:tc>
              <w:tc>
                <w:tcPr>
                  <w:tcW w:w="2041" w:type="dxa"/>
                  <w:gridSpan w:val="2"/>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排放源参数</w:t>
                  </w:r>
                </w:p>
              </w:tc>
              <w:tc>
                <w:tcPr>
                  <w:tcW w:w="1363" w:type="dxa"/>
                  <w:vMerge w:val="restart"/>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评价标准</w:t>
                  </w:r>
                </w:p>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（mg/m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c>
              <w:tc>
                <w:tcPr>
                  <w:tcW w:w="893" w:type="dxa"/>
                  <w:vMerge w:val="restart"/>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b/>
                      <w:bCs/>
                      <w:sz w:val="21"/>
                      <w:szCs w:val="21"/>
                    </w:rPr>
                    <w:t>卫生防护距离计算值(m)</w:t>
                  </w:r>
                </w:p>
              </w:tc>
              <w:tc>
                <w:tcPr>
                  <w:tcW w:w="895" w:type="dxa"/>
                  <w:vMerge w:val="restart"/>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b/>
                      <w:bCs/>
                      <w:sz w:val="21"/>
                      <w:szCs w:val="21"/>
                    </w:rPr>
                    <w:t>卫生防护距离定值(m)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1062" w:type="dxa"/>
                  <w:vMerge w:val="continue"/>
                  <w:vAlign w:val="center"/>
                </w:tcPr>
                <w:p>
                  <w:pPr>
                    <w:ind w:firstLine="420" w:firstLineChars="200"/>
                    <w:rPr>
                      <w:rFonts w:hint="default" w:ascii="Times New Roman" w:hAnsi="Times New Roman" w:cs="Times New Roman"/>
                      <w:sz w:val="21"/>
                      <w:szCs w:val="21"/>
                    </w:rPr>
                  </w:pPr>
                </w:p>
              </w:tc>
              <w:tc>
                <w:tcPr>
                  <w:tcW w:w="1010" w:type="dxa"/>
                  <w:vMerge w:val="continue"/>
                  <w:vAlign w:val="center"/>
                </w:tcPr>
                <w:p>
                  <w:pPr>
                    <w:ind w:firstLine="420" w:firstLineChars="200"/>
                    <w:rPr>
                      <w:rFonts w:hint="default" w:ascii="Times New Roman" w:hAnsi="Times New Roman" w:cs="Times New Roman"/>
                      <w:sz w:val="21"/>
                      <w:szCs w:val="21"/>
                    </w:rPr>
                  </w:pPr>
                </w:p>
              </w:tc>
              <w:tc>
                <w:tcPr>
                  <w:tcW w:w="1038" w:type="dxa"/>
                  <w:vMerge w:val="continue"/>
                  <w:vAlign w:val="center"/>
                </w:tcPr>
                <w:p>
                  <w:pPr>
                    <w:ind w:firstLine="420" w:firstLineChars="200"/>
                    <w:rPr>
                      <w:rFonts w:hint="default" w:ascii="Times New Roman" w:hAnsi="Times New Roman" w:cs="Times New Roman"/>
                      <w:sz w:val="21"/>
                      <w:szCs w:val="21"/>
                    </w:rPr>
                  </w:pPr>
                </w:p>
              </w:tc>
              <w:tc>
                <w:tcPr>
                  <w:tcW w:w="912" w:type="dxa"/>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高度（m）</w:t>
                  </w:r>
                </w:p>
              </w:tc>
              <w:tc>
                <w:tcPr>
                  <w:tcW w:w="1129" w:type="dxa"/>
                  <w:vAlign w:val="center"/>
                </w:tcPr>
                <w:p>
                  <w:pPr>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面积（m</w:t>
                  </w:r>
                  <w:r>
                    <w:rPr>
                      <w:rFonts w:hint="default" w:ascii="Times New Roman" w:hAnsi="Times New Roman" w:cs="Times New Roman"/>
                      <w:b/>
                      <w:bCs/>
                      <w:sz w:val="21"/>
                      <w:szCs w:val="21"/>
                      <w:vertAlign w:val="superscript"/>
                    </w:rPr>
                    <w:t>2</w:t>
                  </w:r>
                  <w:r>
                    <w:rPr>
                      <w:rFonts w:hint="default" w:ascii="Times New Roman" w:hAnsi="Times New Roman" w:cs="Times New Roman"/>
                      <w:b/>
                      <w:bCs/>
                      <w:sz w:val="21"/>
                      <w:szCs w:val="21"/>
                    </w:rPr>
                    <w:t>）</w:t>
                  </w:r>
                </w:p>
              </w:tc>
              <w:tc>
                <w:tcPr>
                  <w:tcW w:w="1363" w:type="dxa"/>
                  <w:vMerge w:val="continue"/>
                  <w:vAlign w:val="center"/>
                </w:tcPr>
                <w:p>
                  <w:pPr>
                    <w:ind w:firstLine="420" w:firstLineChars="200"/>
                    <w:rPr>
                      <w:rFonts w:hint="default" w:ascii="Times New Roman" w:hAnsi="Times New Roman" w:cs="Times New Roman"/>
                      <w:sz w:val="21"/>
                      <w:szCs w:val="21"/>
                    </w:rPr>
                  </w:pPr>
                </w:p>
              </w:tc>
              <w:tc>
                <w:tcPr>
                  <w:tcW w:w="893" w:type="dxa"/>
                  <w:vMerge w:val="continue"/>
                  <w:vAlign w:val="center"/>
                </w:tcPr>
                <w:p>
                  <w:pPr>
                    <w:ind w:firstLine="420" w:firstLineChars="200"/>
                    <w:rPr>
                      <w:rFonts w:hint="default" w:ascii="Times New Roman" w:hAnsi="Times New Roman" w:cs="Times New Roman"/>
                      <w:sz w:val="21"/>
                      <w:szCs w:val="21"/>
                    </w:rPr>
                  </w:pPr>
                </w:p>
              </w:tc>
              <w:tc>
                <w:tcPr>
                  <w:tcW w:w="895" w:type="dxa"/>
                  <w:vMerge w:val="continue"/>
                  <w:vAlign w:val="center"/>
                </w:tcPr>
                <w:p>
                  <w:pPr>
                    <w:ind w:firstLine="420" w:firstLineChars="20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1062" w:type="dxa"/>
                  <w:tcBorders>
                    <w:top w:val="single" w:color="000000" w:sz="4" w:space="0"/>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生产车间</w:t>
                  </w:r>
                </w:p>
              </w:tc>
              <w:tc>
                <w:tcPr>
                  <w:tcW w:w="1010"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颗粒物</w:t>
                  </w:r>
                </w:p>
              </w:tc>
              <w:tc>
                <w:tcPr>
                  <w:tcW w:w="1038"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0.0139</w:t>
                  </w:r>
                </w:p>
              </w:tc>
              <w:tc>
                <w:tcPr>
                  <w:tcW w:w="912"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8</w:t>
                  </w:r>
                </w:p>
              </w:tc>
              <w:tc>
                <w:tcPr>
                  <w:tcW w:w="1129"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1500</w:t>
                  </w:r>
                </w:p>
              </w:tc>
              <w:tc>
                <w:tcPr>
                  <w:tcW w:w="1363" w:type="dxa"/>
                  <w:vAlign w:val="center"/>
                </w:tcPr>
                <w:p>
                  <w:pPr>
                    <w:ind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9</w:t>
                  </w:r>
                </w:p>
              </w:tc>
              <w:tc>
                <w:tcPr>
                  <w:tcW w:w="893" w:type="dxa"/>
                  <w:vAlign w:val="center"/>
                </w:tcPr>
                <w:p>
                  <w:pPr>
                    <w:jc w:val="center"/>
                    <w:rPr>
                      <w:rFonts w:hint="default" w:ascii="Times New Roman" w:hAnsi="Times New Roman" w:cs="Times New Roman"/>
                      <w:sz w:val="21"/>
                      <w:szCs w:val="21"/>
                    </w:rPr>
                  </w:pPr>
                  <w:r>
                    <w:rPr>
                      <w:rFonts w:hint="eastAsia" w:ascii="Times New Roman" w:hAnsi="Times New Roman" w:cs="Times New Roman"/>
                      <w:lang w:val="en-US" w:eastAsia="zh-CN"/>
                    </w:rPr>
                    <w:t>1.</w:t>
                  </w:r>
                  <w:r>
                    <w:rPr>
                      <w:rFonts w:hint="default" w:ascii="Times New Roman" w:hAnsi="Times New Roman" w:cs="Times New Roman"/>
                    </w:rPr>
                    <w:t>38</w:t>
                  </w:r>
                </w:p>
              </w:tc>
              <w:tc>
                <w:tcPr>
                  <w:tcW w:w="89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100</w:t>
                  </w:r>
                </w:p>
              </w:tc>
            </w:tr>
          </w:tbl>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制定地方大气污染物排放标准的技术方法》（GB/T13201-91），卫生防护距离在100米以内时，级差为50米；超过100米，但小于或等于1000米时，级差为100米；超过1000米时，级差为200米。当按两种或两种以上的有害气体计算的卫生防护距离在同一级别时，该类工业企业的卫生防护距离级别应提高一级。</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因此，本项目卫生防护距离为以</w:t>
            </w:r>
            <w:r>
              <w:rPr>
                <w:rFonts w:hint="default" w:ascii="Times New Roman" w:hAnsi="Times New Roman" w:cs="Times New Roman"/>
                <w:sz w:val="24"/>
                <w:szCs w:val="24"/>
                <w:lang w:val="en-US" w:eastAsia="zh-CN"/>
              </w:rPr>
              <w:t>生产车间</w:t>
            </w:r>
            <w:r>
              <w:rPr>
                <w:rFonts w:hint="default" w:ascii="Times New Roman" w:hAnsi="Times New Roman" w:cs="Times New Roman"/>
                <w:sz w:val="24"/>
                <w:szCs w:val="24"/>
              </w:rPr>
              <w:t>外扩</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0米形成的包络线。距离企业最近的</w:t>
            </w:r>
            <w:r>
              <w:rPr>
                <w:rFonts w:hint="default" w:ascii="Times New Roman" w:hAnsi="Times New Roman" w:cs="Times New Roman"/>
                <w:sz w:val="24"/>
                <w:szCs w:val="24"/>
                <w:lang w:val="en-US" w:eastAsia="zh-CN"/>
              </w:rPr>
              <w:t>新庄</w:t>
            </w:r>
            <w:r>
              <w:rPr>
                <w:rFonts w:hint="default" w:ascii="Times New Roman" w:hAnsi="Times New Roman" w:cs="Times New Roman"/>
                <w:sz w:val="24"/>
                <w:szCs w:val="24"/>
              </w:rPr>
              <w:t>居民距离</w:t>
            </w:r>
            <w:r>
              <w:rPr>
                <w:rFonts w:hint="default" w:ascii="Times New Roman" w:hAnsi="Times New Roman" w:cs="Times New Roman"/>
                <w:sz w:val="24"/>
                <w:szCs w:val="24"/>
                <w:lang w:val="en-US" w:eastAsia="zh-CN"/>
              </w:rPr>
              <w:t>生产车间</w:t>
            </w:r>
            <w:r>
              <w:rPr>
                <w:rFonts w:hint="eastAsia" w:ascii="Times New Roman" w:hAnsi="Times New Roman" w:cs="Times New Roman"/>
                <w:sz w:val="24"/>
                <w:szCs w:val="24"/>
                <w:lang w:val="en-US" w:eastAsia="zh-CN"/>
              </w:rPr>
              <w:t>190</w:t>
            </w:r>
            <w:r>
              <w:rPr>
                <w:rFonts w:hint="default" w:ascii="Times New Roman" w:hAnsi="Times New Roman" w:cs="Times New Roman"/>
                <w:sz w:val="24"/>
                <w:szCs w:val="24"/>
                <w:lang w:val="en-US" w:eastAsia="zh-CN"/>
              </w:rPr>
              <w:t>米</w:t>
            </w:r>
            <w:r>
              <w:rPr>
                <w:rFonts w:hint="default" w:ascii="Times New Roman" w:hAnsi="Times New Roman" w:cs="Times New Roman"/>
                <w:sz w:val="24"/>
                <w:szCs w:val="24"/>
              </w:rPr>
              <w:t>，因此目前该卫生防护距离包络线范围内无敏感保护目标，以后也不得在卫生防护距离内建设居住区等环境敏感目标，以避免环境纠纷。</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（4）污染物排放量核算</w:t>
            </w:r>
          </w:p>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本项目大气污染物有组织排放量核算见下表。</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 xml:space="preserve">表7-11 </w:t>
            </w:r>
            <w:r>
              <w:rPr>
                <w:rFonts w:hint="default" w:ascii="Times New Roman" w:hAnsi="Times New Roman" w:eastAsia="宋体" w:cs="Times New Roman"/>
                <w:b/>
                <w:color w:val="auto"/>
                <w:kern w:val="2"/>
                <w:sz w:val="24"/>
                <w:szCs w:val="24"/>
              </w:rPr>
              <w:t>本项目大气污染物有组织排放量核算</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1131"/>
              <w:gridCol w:w="1504"/>
              <w:gridCol w:w="2004"/>
              <w:gridCol w:w="1885"/>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blHeader/>
                <w:jc w:val="center"/>
              </w:trPr>
              <w:tc>
                <w:tcPr>
                  <w:tcW w:w="485"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131"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tc>
              <w:tc>
                <w:tcPr>
                  <w:tcW w:w="1504"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2004"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核算排放浓度/</w:t>
                  </w:r>
                </w:p>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885"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核算排放速率/</w:t>
                  </w:r>
                </w:p>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1293"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核算年排放量/</w:t>
                  </w:r>
                </w:p>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302" w:type="dxa"/>
                  <w:gridSpan w:val="6"/>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485"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31"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p>
              </w:tc>
              <w:tc>
                <w:tcPr>
                  <w:tcW w:w="1504" w:type="dxa"/>
                  <w:shd w:val="clear" w:color="auto" w:fill="FFFFFF"/>
                  <w:vAlign w:val="center"/>
                </w:tcPr>
                <w:p>
                  <w:pPr>
                    <w:pStyle w:val="43"/>
                    <w:keepNext w:val="0"/>
                    <w:keepLines w:val="0"/>
                    <w:pageBreakBefore w:val="0"/>
                    <w:widowControl w:val="0"/>
                    <w:kinsoku/>
                    <w:wordWrap/>
                    <w:overflowPunct/>
                    <w:topLinePunct w:val="0"/>
                    <w:autoSpaceDE/>
                    <w:autoSpaceDN/>
                    <w:bidi w:val="0"/>
                    <w:adjustRightInd w:val="0"/>
                    <w:snapToGrid w:val="0"/>
                    <w:spacing w:before="31" w:after="31"/>
                    <w:ind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2004"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163.46</w:t>
                  </w:r>
                </w:p>
              </w:tc>
              <w:tc>
                <w:tcPr>
                  <w:tcW w:w="1885"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0.085</w:t>
                  </w:r>
                </w:p>
              </w:tc>
              <w:tc>
                <w:tcPr>
                  <w:tcW w:w="1293"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485" w:type="dxa"/>
                  <w:shd w:val="clear" w:color="auto" w:fill="FFFFFF"/>
                  <w:vAlign w:val="center"/>
                </w:tcPr>
                <w:p>
                  <w:pPr>
                    <w:pStyle w:val="43"/>
                    <w:spacing w:before="31" w:after="31"/>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31"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p>
              </w:tc>
              <w:tc>
                <w:tcPr>
                  <w:tcW w:w="1504" w:type="dxa"/>
                  <w:shd w:val="clear" w:color="auto" w:fill="FFFFFF"/>
                  <w:vAlign w:val="center"/>
                </w:tcPr>
                <w:p>
                  <w:pPr>
                    <w:pStyle w:val="43"/>
                    <w:keepNext w:val="0"/>
                    <w:keepLines w:val="0"/>
                    <w:pageBreakBefore w:val="0"/>
                    <w:widowControl w:val="0"/>
                    <w:kinsoku/>
                    <w:wordWrap/>
                    <w:overflowPunct/>
                    <w:topLinePunct w:val="0"/>
                    <w:autoSpaceDE/>
                    <w:autoSpaceDN/>
                    <w:bidi w:val="0"/>
                    <w:adjustRightInd w:val="0"/>
                    <w:snapToGrid w:val="0"/>
                    <w:spacing w:before="31" w:after="31"/>
                    <w:ind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2004" w:type="dxa"/>
                  <w:shd w:val="clear" w:color="auto" w:fill="FFFFFF"/>
                  <w:vAlign w:val="center"/>
                </w:tcPr>
                <w:p>
                  <w:pPr>
                    <w:widowControl/>
                    <w:jc w:val="center"/>
                    <w:rPr>
                      <w:rFonts w:hint="default" w:ascii="Times New Roman" w:hAnsi="Times New Roman" w:eastAsia="宋体" w:cs="Times New Roman"/>
                      <w:sz w:val="21"/>
                      <w:szCs w:val="21"/>
                      <w:lang w:val="en-US"/>
                    </w:rPr>
                  </w:pPr>
                  <w:r>
                    <w:rPr>
                      <w:rFonts w:hint="eastAsia" w:ascii="Times New Roman" w:hAnsi="Times New Roman" w:cs="Times New Roman"/>
                      <w:szCs w:val="21"/>
                      <w:lang w:val="en-US" w:eastAsia="zh-CN"/>
                    </w:rPr>
                    <w:t>4.01</w:t>
                  </w:r>
                </w:p>
              </w:tc>
              <w:tc>
                <w:tcPr>
                  <w:tcW w:w="1885"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0.002</w:t>
                  </w:r>
                </w:p>
              </w:tc>
              <w:tc>
                <w:tcPr>
                  <w:tcW w:w="1293"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6" w:type="dxa"/>
                  <w:gridSpan w:val="2"/>
                  <w:vMerge w:val="restart"/>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一般排放口合计</w:t>
                  </w:r>
                </w:p>
              </w:tc>
              <w:tc>
                <w:tcPr>
                  <w:tcW w:w="5393" w:type="dxa"/>
                  <w:gridSpan w:val="3"/>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293" w:type="dxa"/>
                  <w:shd w:val="clear" w:color="auto" w:fill="FFFFFF"/>
                  <w:vAlign w:val="center"/>
                </w:tcPr>
                <w:p>
                  <w:pPr>
                    <w:pStyle w:val="43"/>
                    <w:spacing w:before="31" w:after="31"/>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1293" w:type="dxa"/>
                  <w:shd w:val="clear" w:color="auto" w:fill="FFFFFF"/>
                  <w:vAlign w:val="center"/>
                </w:tcPr>
                <w:p>
                  <w:pPr>
                    <w:widowControl/>
                    <w:jc w:val="center"/>
                    <w:rPr>
                      <w:rFonts w:hint="default" w:ascii="Times New Roman" w:hAnsi="Times New Roman" w:eastAsia="宋体" w:cs="Times New Roman"/>
                      <w:sz w:val="21"/>
                      <w:szCs w:val="21"/>
                      <w:lang w:eastAsia="zh-CN"/>
                    </w:rPr>
                  </w:pPr>
                  <w:r>
                    <w:rPr>
                      <w:rFonts w:hint="eastAsia" w:ascii="Times New Roman" w:hAnsi="Times New Roman" w:cs="Times New Roman"/>
                      <w:szCs w:val="21"/>
                      <w:lang w:val="en-US" w:eastAsia="zh-CN"/>
                    </w:rPr>
                    <w:t>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293"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1293"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302" w:type="dxa"/>
                  <w:gridSpan w:val="6"/>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616" w:type="dxa"/>
                  <w:gridSpan w:val="2"/>
                  <w:vMerge w:val="restart"/>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有组织排放总计</w:t>
                  </w:r>
                </w:p>
              </w:tc>
              <w:tc>
                <w:tcPr>
                  <w:tcW w:w="5393" w:type="dxa"/>
                  <w:gridSpan w:val="3"/>
                  <w:shd w:val="clear" w:color="auto" w:fill="FFFFFF"/>
                  <w:vAlign w:val="center"/>
                </w:tcPr>
                <w:p>
                  <w:pPr>
                    <w:pStyle w:val="43"/>
                    <w:spacing w:before="31" w:after="31"/>
                    <w:ind w:firstLine="48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293"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1293"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293"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6" w:type="dxa"/>
                  <w:gridSpan w:val="2"/>
                  <w:vMerge w:val="continue"/>
                  <w:shd w:val="clear" w:color="auto" w:fill="FFFFFF"/>
                  <w:vAlign w:val="center"/>
                </w:tcPr>
                <w:p>
                  <w:pPr>
                    <w:pStyle w:val="43"/>
                    <w:spacing w:before="31" w:after="31"/>
                    <w:ind w:firstLine="480"/>
                    <w:jc w:val="center"/>
                    <w:rPr>
                      <w:rFonts w:hint="default" w:ascii="Times New Roman" w:hAnsi="Times New Roman" w:eastAsia="宋体" w:cs="Times New Roman"/>
                      <w:sz w:val="21"/>
                      <w:szCs w:val="21"/>
                    </w:rPr>
                  </w:pPr>
                </w:p>
              </w:tc>
              <w:tc>
                <w:tcPr>
                  <w:tcW w:w="5393" w:type="dxa"/>
                  <w:gridSpan w:val="3"/>
                  <w:shd w:val="clear" w:color="auto" w:fill="FFFFFF"/>
                  <w:vAlign w:val="center"/>
                </w:tcPr>
                <w:p>
                  <w:pPr>
                    <w:pStyle w:val="43"/>
                    <w:spacing w:before="31" w:after="31"/>
                    <w:ind w:firstLine="48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1293" w:type="dxa"/>
                  <w:shd w:val="clear" w:color="auto" w:fill="FFFFFF"/>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r>
          </w:tbl>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本项目大气污染物无组织排放量核算见下表。</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 xml:space="preserve">表7-12 </w:t>
            </w:r>
            <w:r>
              <w:rPr>
                <w:rFonts w:hint="default" w:ascii="Times New Roman" w:hAnsi="Times New Roman" w:eastAsia="宋体" w:cs="Times New Roman"/>
                <w:b/>
                <w:color w:val="auto"/>
                <w:kern w:val="2"/>
                <w:sz w:val="24"/>
                <w:szCs w:val="24"/>
              </w:rPr>
              <w:t>本项目大气污染物无组织排放量核算</w:t>
            </w:r>
          </w:p>
          <w:tbl>
            <w:tblPr>
              <w:tblStyle w:val="15"/>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6"/>
              <w:gridCol w:w="511"/>
              <w:gridCol w:w="1330"/>
              <w:gridCol w:w="885"/>
              <w:gridCol w:w="990"/>
              <w:gridCol w:w="2280"/>
              <w:gridCol w:w="870"/>
              <w:gridCol w:w="10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9" w:hRule="atLeast"/>
                <w:tblHeader/>
                <w:jc w:val="center"/>
              </w:trPr>
              <w:tc>
                <w:tcPr>
                  <w:tcW w:w="426"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511"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tc>
              <w:tc>
                <w:tcPr>
                  <w:tcW w:w="1330"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产污</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环节</w:t>
                  </w:r>
                </w:p>
              </w:tc>
              <w:tc>
                <w:tcPr>
                  <w:tcW w:w="885"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990"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主要污染防治措施</w:t>
                  </w:r>
                </w:p>
              </w:tc>
              <w:tc>
                <w:tcPr>
                  <w:tcW w:w="315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国家或地方污染物排放标准</w:t>
                  </w:r>
                </w:p>
              </w:tc>
              <w:tc>
                <w:tcPr>
                  <w:tcW w:w="1014" w:type="dxa"/>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1" w:hRule="atLeast"/>
                <w:tblHeader/>
                <w:jc w:val="center"/>
              </w:trPr>
              <w:tc>
                <w:tcPr>
                  <w:tcW w:w="426"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511"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1330"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885"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990" w:type="dxa"/>
                  <w:vMerge w:val="continue"/>
                  <w:vAlign w:val="center"/>
                </w:tcPr>
                <w:p>
                  <w:pPr>
                    <w:pStyle w:val="43"/>
                    <w:spacing w:before="24" w:after="24"/>
                    <w:jc w:val="center"/>
                    <w:rPr>
                      <w:rFonts w:hint="default" w:ascii="Times New Roman" w:hAnsi="Times New Roman" w:eastAsia="宋体" w:cs="Times New Roman"/>
                      <w:sz w:val="21"/>
                      <w:szCs w:val="21"/>
                    </w:rPr>
                  </w:pPr>
                </w:p>
              </w:tc>
              <w:tc>
                <w:tcPr>
                  <w:tcW w:w="2280" w:type="dxa"/>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标准名称</w:t>
                  </w:r>
                </w:p>
              </w:tc>
              <w:tc>
                <w:tcPr>
                  <w:tcW w:w="870" w:type="dxa"/>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浓度限值</w:t>
                  </w:r>
                </w:p>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014" w:type="dxa"/>
                  <w:vMerge w:val="continue"/>
                  <w:vAlign w:val="center"/>
                </w:tcPr>
                <w:p>
                  <w:pPr>
                    <w:pStyle w:val="43"/>
                    <w:spacing w:before="24" w:after="24"/>
                    <w:jc w:val="center"/>
                    <w:rPr>
                      <w:rFonts w:hint="default" w:ascii="Times New Roman" w:hAnsi="Times New Roman" w:eastAsia="宋体"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3" w:hRule="atLeast"/>
                <w:tblHeader/>
                <w:jc w:val="center"/>
              </w:trPr>
              <w:tc>
                <w:tcPr>
                  <w:tcW w:w="426" w:type="dxa"/>
                  <w:shd w:val="clear" w:color="auto" w:fill="auto"/>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11" w:type="dxa"/>
                  <w:shd w:val="clear" w:color="auto" w:fill="auto"/>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生产车间</w:t>
                  </w:r>
                </w:p>
              </w:tc>
              <w:tc>
                <w:tcPr>
                  <w:tcW w:w="133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2"/>
                      <w:szCs w:val="22"/>
                      <w:u w:val="none"/>
                      <w:lang w:val="en-US" w:eastAsia="zh-CN" w:bidi="ar"/>
                    </w:rPr>
                    <w:t>激光烟尘、印字烟尘、锡焊废气</w:t>
                  </w:r>
                </w:p>
              </w:tc>
              <w:tc>
                <w:tcPr>
                  <w:tcW w:w="885" w:type="dxa"/>
                  <w:shd w:val="clear" w:color="auto" w:fill="auto"/>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99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布袋除尘</w:t>
                  </w:r>
                </w:p>
              </w:tc>
              <w:tc>
                <w:tcPr>
                  <w:tcW w:w="2280" w:type="dxa"/>
                  <w:vAlign w:val="center"/>
                </w:tcPr>
                <w:p>
                  <w:pPr>
                    <w:jc w:val="center"/>
                    <w:rPr>
                      <w:rFonts w:hint="default" w:ascii="Times New Roman" w:hAnsi="Times New Roman" w:cs="Times New Roman"/>
                      <w:bCs/>
                      <w:sz w:val="21"/>
                      <w:szCs w:val="21"/>
                    </w:rPr>
                  </w:pPr>
                  <w:r>
                    <w:rPr>
                      <w:rFonts w:hint="default" w:ascii="Times New Roman" w:hAnsi="Times New Roman" w:cs="Times New Roman"/>
                      <w:spacing w:val="-6"/>
                      <w:sz w:val="21"/>
                      <w:szCs w:val="21"/>
                    </w:rPr>
                    <w:t>《大气污染物综合排放标准》（GB16297-1996）表2</w:t>
                  </w:r>
                </w:p>
              </w:tc>
              <w:tc>
                <w:tcPr>
                  <w:tcW w:w="870" w:type="dxa"/>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lang w:val="en-US" w:eastAsia="zh-CN"/>
                    </w:rPr>
                    <w:t>0</w:t>
                  </w:r>
                </w:p>
              </w:tc>
              <w:tc>
                <w:tcPr>
                  <w:tcW w:w="1014"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kern w:val="0"/>
                      <w:sz w:val="21"/>
                      <w:szCs w:val="21"/>
                      <w:u w:val="none"/>
                      <w:lang w:val="en-US" w:eastAsia="zh-CN" w:bidi="ar"/>
                    </w:rPr>
                    <w:t>0.0139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6" w:hRule="atLeast"/>
                <w:tblHeader/>
                <w:jc w:val="center"/>
              </w:trPr>
              <w:tc>
                <w:tcPr>
                  <w:tcW w:w="8306" w:type="dxa"/>
                  <w:gridSpan w:val="8"/>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无组织排放总计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6" w:hRule="atLeast"/>
                <w:tblHeader/>
                <w:jc w:val="center"/>
              </w:trPr>
              <w:tc>
                <w:tcPr>
                  <w:tcW w:w="3152" w:type="dxa"/>
                  <w:gridSpan w:val="4"/>
                  <w:vMerge w:val="restart"/>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无组织排放总计</w:t>
                  </w:r>
                </w:p>
              </w:tc>
              <w:tc>
                <w:tcPr>
                  <w:tcW w:w="327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88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eastAsia" w:ascii="Times New Roman" w:hAnsi="Times New Roman" w:eastAsia="宋体" w:cs="Times New Roman"/>
                      <w:i w:val="0"/>
                      <w:color w:val="000000"/>
                      <w:kern w:val="0"/>
                      <w:sz w:val="21"/>
                      <w:szCs w:val="21"/>
                      <w:u w:val="none"/>
                      <w:lang w:val="en-US" w:eastAsia="zh-CN" w:bidi="ar"/>
                    </w:rPr>
                    <w:t>0.0139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26"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05"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05" w:hRule="atLeast"/>
                <w:tblHeader/>
                <w:jc w:val="center"/>
              </w:trPr>
              <w:tc>
                <w:tcPr>
                  <w:tcW w:w="3152" w:type="dxa"/>
                  <w:gridSpan w:val="4"/>
                  <w:vMerge w:val="continue"/>
                  <w:vAlign w:val="center"/>
                </w:tcPr>
                <w:p>
                  <w:pPr>
                    <w:pStyle w:val="43"/>
                    <w:spacing w:before="24" w:after="24"/>
                    <w:jc w:val="center"/>
                    <w:rPr>
                      <w:rFonts w:hint="default" w:ascii="Times New Roman" w:hAnsi="Times New Roman" w:eastAsia="宋体" w:cs="Times New Roman"/>
                      <w:sz w:val="21"/>
                      <w:szCs w:val="21"/>
                    </w:rPr>
                  </w:pPr>
                </w:p>
              </w:tc>
              <w:tc>
                <w:tcPr>
                  <w:tcW w:w="3270" w:type="dxa"/>
                  <w:gridSpan w:val="2"/>
                  <w:vAlign w:val="center"/>
                </w:tcPr>
                <w:p>
                  <w:pPr>
                    <w:pStyle w:val="43"/>
                    <w:spacing w:before="31" w:after="3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1884" w:type="dxa"/>
                  <w:gridSpan w:val="2"/>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Cs w:val="21"/>
                      <w:lang w:val="en-US" w:eastAsia="zh-CN"/>
                    </w:rPr>
                    <w:t>0.612</w:t>
                  </w:r>
                </w:p>
              </w:tc>
            </w:tr>
          </w:tbl>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本项目大气污染物年排放量核算见下表。</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 xml:space="preserve">表7-13 </w:t>
            </w:r>
            <w:r>
              <w:rPr>
                <w:rFonts w:hint="default" w:ascii="Times New Roman" w:hAnsi="Times New Roman" w:eastAsia="宋体" w:cs="Times New Roman"/>
                <w:b/>
                <w:color w:val="auto"/>
                <w:kern w:val="2"/>
                <w:sz w:val="24"/>
                <w:szCs w:val="24"/>
              </w:rPr>
              <w:t>本项目大气污染物年排放量核算</w:t>
            </w:r>
          </w:p>
          <w:tbl>
            <w:tblPr>
              <w:tblStyle w:val="15"/>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7"/>
              <w:gridCol w:w="3138"/>
              <w:gridCol w:w="32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tblHeader/>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3138"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3291"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3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3291" w:type="dxa"/>
                  <w:vAlign w:val="center"/>
                </w:tcPr>
                <w:p>
                  <w:pPr>
                    <w:keepNext w:val="0"/>
                    <w:keepLines w:val="0"/>
                    <w:widowControl/>
                    <w:suppressLineNumbers w:val="0"/>
                    <w:jc w:val="center"/>
                    <w:textAlignment w:val="center"/>
                    <w:rPr>
                      <w:rFonts w:hint="default" w:ascii="Times New Roman" w:hAnsi="Times New Roman" w:eastAsia="等线" w:cs="Times New Roman"/>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0.0289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VOCs</w:t>
                  </w:r>
                </w:p>
              </w:tc>
              <w:tc>
                <w:tcPr>
                  <w:tcW w:w="3291" w:type="dxa"/>
                  <w:vAlign w:val="center"/>
                </w:tcPr>
                <w:p>
                  <w:pPr>
                    <w:pStyle w:val="43"/>
                    <w:spacing w:before="24" w:after="24"/>
                    <w:jc w:val="center"/>
                    <w:rPr>
                      <w:rFonts w:hint="default" w:ascii="Times New Roman" w:hAnsi="Times New Roman" w:eastAsia="等线" w:cs="Times New Roman"/>
                      <w:sz w:val="21"/>
                      <w:szCs w:val="21"/>
                      <w:lang w:val="en-US" w:eastAsia="zh-CN"/>
                    </w:rPr>
                  </w:pPr>
                  <w:r>
                    <w:rPr>
                      <w:rFonts w:hint="eastAsia" w:ascii="Times New Roman" w:hAnsi="Times New Roman" w:eastAsia="宋体"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SO</w:t>
                  </w:r>
                  <w:r>
                    <w:rPr>
                      <w:rFonts w:hint="default" w:ascii="Times New Roman" w:hAnsi="Times New Roman" w:eastAsia="等线" w:cs="Times New Roman"/>
                      <w:sz w:val="21"/>
                      <w:szCs w:val="21"/>
                      <w:vertAlign w:val="subscript"/>
                    </w:rPr>
                    <w:t>2</w:t>
                  </w:r>
                </w:p>
              </w:tc>
              <w:tc>
                <w:tcPr>
                  <w:tcW w:w="3291" w:type="dxa"/>
                  <w:vAlign w:val="center"/>
                </w:tcPr>
                <w:p>
                  <w:pPr>
                    <w:pStyle w:val="43"/>
                    <w:spacing w:before="24" w:after="24"/>
                    <w:jc w:val="center"/>
                    <w:rPr>
                      <w:rFonts w:hint="default" w:ascii="Times New Roman" w:hAnsi="Times New Roman" w:eastAsia="等线"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5" w:hRule="atLeast"/>
                <w:jc w:val="center"/>
              </w:trPr>
              <w:tc>
                <w:tcPr>
                  <w:tcW w:w="1877"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138" w:type="dxa"/>
                  <w:vAlign w:val="center"/>
                </w:tcPr>
                <w:p>
                  <w:pPr>
                    <w:jc w:val="center"/>
                    <w:rPr>
                      <w:rFonts w:hint="default" w:ascii="Times New Roman" w:hAnsi="Times New Roman" w:eastAsia="等线" w:cs="Times New Roman"/>
                      <w:sz w:val="21"/>
                      <w:szCs w:val="21"/>
                    </w:rPr>
                  </w:pPr>
                  <w:r>
                    <w:rPr>
                      <w:rFonts w:hint="default" w:ascii="Times New Roman" w:hAnsi="Times New Roman" w:eastAsia="等线" w:cs="Times New Roman"/>
                      <w:sz w:val="21"/>
                      <w:szCs w:val="21"/>
                    </w:rPr>
                    <w:t>NO</w:t>
                  </w:r>
                  <w:r>
                    <w:rPr>
                      <w:rFonts w:hint="default" w:ascii="Times New Roman" w:hAnsi="Times New Roman" w:eastAsia="等线" w:cs="Times New Roman"/>
                      <w:i/>
                      <w:iCs/>
                      <w:sz w:val="21"/>
                      <w:szCs w:val="21"/>
                      <w:vertAlign w:val="subscript"/>
                    </w:rPr>
                    <w:t>x</w:t>
                  </w:r>
                </w:p>
              </w:tc>
              <w:tc>
                <w:tcPr>
                  <w:tcW w:w="3291" w:type="dxa"/>
                  <w:vAlign w:val="center"/>
                </w:tcPr>
                <w:p>
                  <w:pPr>
                    <w:pStyle w:val="43"/>
                    <w:spacing w:before="24" w:after="24"/>
                    <w:jc w:val="center"/>
                    <w:rPr>
                      <w:rFonts w:hint="default" w:ascii="Times New Roman" w:hAnsi="Times New Roman" w:eastAsia="等线" w:cs="Times New Roman"/>
                      <w:sz w:val="21"/>
                      <w:szCs w:val="21"/>
                      <w:lang w:val="en-US" w:eastAsia="zh-CN"/>
                    </w:rPr>
                  </w:pPr>
                  <w:r>
                    <w:rPr>
                      <w:rFonts w:hint="eastAsia" w:ascii="Times New Roman" w:hAnsi="Times New Roman" w:cs="Times New Roman"/>
                      <w:szCs w:val="21"/>
                      <w:lang w:val="en-US" w:eastAsia="zh-CN"/>
                    </w:rPr>
                    <w:t>0.612</w:t>
                  </w:r>
                </w:p>
              </w:tc>
            </w:tr>
          </w:tbl>
          <w:p>
            <w:pPr>
              <w:pStyle w:val="17"/>
              <w:spacing w:line="360" w:lineRule="auto"/>
              <w:ind w:firstLine="480" w:firstLineChars="200"/>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sz w:val="24"/>
                <w:szCs w:val="24"/>
              </w:rPr>
              <w:t>大气污染源非正常排放量核算见下表</w:t>
            </w:r>
            <w:r>
              <w:rPr>
                <w:rFonts w:hint="default" w:ascii="Times New Roman" w:hAnsi="Times New Roman" w:eastAsia="宋体" w:cs="Times New Roman"/>
                <w:color w:val="auto"/>
                <w:kern w:val="2"/>
                <w:sz w:val="24"/>
                <w:szCs w:val="24"/>
              </w:rPr>
              <w:t>。</w:t>
            </w:r>
          </w:p>
          <w:p>
            <w:pPr>
              <w:pStyle w:val="17"/>
              <w:spacing w:line="360" w:lineRule="auto"/>
              <w:ind w:firstLine="482" w:firstLineChars="200"/>
              <w:jc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b/>
                <w:color w:val="auto"/>
                <w:sz w:val="24"/>
                <w:szCs w:val="24"/>
              </w:rPr>
              <w:t>表7-14</w:t>
            </w:r>
            <w:r>
              <w:rPr>
                <w:rFonts w:hint="default" w:ascii="Times New Roman" w:hAnsi="Times New Roman" w:eastAsia="宋体" w:cs="Times New Roman"/>
                <w:b/>
                <w:color w:val="auto"/>
                <w:kern w:val="2"/>
                <w:sz w:val="24"/>
                <w:szCs w:val="24"/>
              </w:rPr>
              <w:t>本项目大气</w:t>
            </w:r>
            <w:r>
              <w:rPr>
                <w:rFonts w:hint="default" w:ascii="Times New Roman" w:hAnsi="Times New Roman" w:eastAsia="宋体" w:cs="Times New Roman"/>
                <w:b/>
                <w:color w:val="auto"/>
                <w:sz w:val="24"/>
                <w:szCs w:val="24"/>
              </w:rPr>
              <w:t>污染源非正常排放量核算</w:t>
            </w:r>
          </w:p>
          <w:tbl>
            <w:tblPr>
              <w:tblStyle w:val="15"/>
              <w:tblW w:w="8306" w:type="dxa"/>
              <w:jc w:val="center"/>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47"/>
              <w:gridCol w:w="831"/>
              <w:gridCol w:w="1022"/>
              <w:gridCol w:w="774"/>
              <w:gridCol w:w="1390"/>
              <w:gridCol w:w="1238"/>
              <w:gridCol w:w="925"/>
              <w:gridCol w:w="1010"/>
              <w:gridCol w:w="6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281" w:hRule="atLeast"/>
                <w:tblHeader/>
                <w:jc w:val="center"/>
              </w:trPr>
              <w:tc>
                <w:tcPr>
                  <w:tcW w:w="447"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831"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1022"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非正常排放原因</w:t>
                  </w:r>
                </w:p>
              </w:tc>
              <w:tc>
                <w:tcPr>
                  <w:tcW w:w="774"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390"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238"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非正常排放速率(kg/h）</w:t>
                  </w:r>
                </w:p>
              </w:tc>
              <w:tc>
                <w:tcPr>
                  <w:tcW w:w="925"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单次持续时间（h）</w:t>
                  </w:r>
                </w:p>
              </w:tc>
              <w:tc>
                <w:tcPr>
                  <w:tcW w:w="1010"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年发生频次（次）</w:t>
                  </w:r>
                </w:p>
              </w:tc>
              <w:tc>
                <w:tcPr>
                  <w:tcW w:w="669"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应对措施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272" w:hRule="atLeast"/>
                <w:jc w:val="center"/>
              </w:trPr>
              <w:tc>
                <w:tcPr>
                  <w:tcW w:w="447"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831"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p>
              </w:tc>
              <w:tc>
                <w:tcPr>
                  <w:tcW w:w="1022" w:type="dxa"/>
                  <w:vMerge w:val="restart"/>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污染物排放控制措施达不到应有效率</w:t>
                  </w:r>
                </w:p>
              </w:tc>
              <w:tc>
                <w:tcPr>
                  <w:tcW w:w="774" w:type="dxa"/>
                  <w:shd w:val="clear" w:color="auto" w:fill="FFFFFF"/>
                  <w:vAlign w:val="center"/>
                </w:tcPr>
                <w:p>
                  <w:pPr>
                    <w:pStyle w:val="43"/>
                    <w:keepNext w:val="0"/>
                    <w:keepLines w:val="0"/>
                    <w:pageBreakBefore w:val="0"/>
                    <w:widowControl w:val="0"/>
                    <w:kinsoku/>
                    <w:wordWrap/>
                    <w:overflowPunct/>
                    <w:topLinePunct w:val="0"/>
                    <w:autoSpaceDE/>
                    <w:autoSpaceDN/>
                    <w:bidi w:val="0"/>
                    <w:adjustRightInd w:val="0"/>
                    <w:snapToGrid w:val="0"/>
                    <w:spacing w:before="31" w:after="31"/>
                    <w:ind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i/>
                      <w:sz w:val="21"/>
                      <w:szCs w:val="21"/>
                      <w:vertAlign w:val="subscript"/>
                    </w:rPr>
                    <w:t>x</w:t>
                  </w:r>
                </w:p>
              </w:tc>
              <w:tc>
                <w:tcPr>
                  <w:tcW w:w="1390" w:type="dxa"/>
                  <w:shd w:val="clear" w:color="auto" w:fill="FFFFFF"/>
                  <w:vAlign w:val="center"/>
                </w:tcPr>
                <w:p>
                  <w:pPr>
                    <w:widowControl/>
                    <w:jc w:val="center"/>
                    <w:rPr>
                      <w:rFonts w:hint="default" w:ascii="Times New Roman" w:hAnsi="Times New Roman" w:eastAsia="宋体" w:cs="Times New Roman"/>
                      <w:sz w:val="21"/>
                      <w:szCs w:val="21"/>
                      <w:lang w:val="en-US"/>
                    </w:rPr>
                  </w:pPr>
                  <w:r>
                    <w:rPr>
                      <w:rFonts w:hint="eastAsia" w:ascii="Times New Roman" w:hAnsi="Times New Roman" w:cs="Times New Roman"/>
                      <w:szCs w:val="21"/>
                      <w:lang w:val="en-US" w:eastAsia="zh-CN"/>
                    </w:rPr>
                    <w:t>163.46</w:t>
                  </w:r>
                </w:p>
              </w:tc>
              <w:tc>
                <w:tcPr>
                  <w:tcW w:w="1238" w:type="dxa"/>
                  <w:shd w:val="clear" w:color="auto" w:fill="FFFFFF"/>
                  <w:vAlign w:val="center"/>
                </w:tcPr>
                <w:p>
                  <w:pPr>
                    <w:widowControl/>
                    <w:jc w:val="center"/>
                    <w:rPr>
                      <w:rFonts w:hint="default" w:ascii="Times New Roman" w:hAnsi="Times New Roman" w:eastAsia="宋体" w:cs="Times New Roman"/>
                      <w:sz w:val="21"/>
                      <w:szCs w:val="21"/>
                    </w:rPr>
                  </w:pPr>
                  <w:r>
                    <w:rPr>
                      <w:rFonts w:hint="eastAsia" w:ascii="Times New Roman" w:hAnsi="Times New Roman" w:cs="Times New Roman"/>
                      <w:szCs w:val="21"/>
                      <w:lang w:val="en-US" w:eastAsia="zh-CN"/>
                    </w:rPr>
                    <w:t>0.085</w:t>
                  </w:r>
                </w:p>
              </w:tc>
              <w:tc>
                <w:tcPr>
                  <w:tcW w:w="925"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010"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69" w:type="dxa"/>
                  <w:vMerge w:val="restart"/>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加强管理，及时更换活性炭、喷淋水、布袋等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trHeight w:val="272" w:hRule="atLeast"/>
                <w:jc w:val="center"/>
              </w:trPr>
              <w:tc>
                <w:tcPr>
                  <w:tcW w:w="447" w:type="dxa"/>
                  <w:shd w:val="clear" w:color="auto" w:fill="FFFFFF"/>
                  <w:vAlign w:val="center"/>
                </w:tcPr>
                <w:p>
                  <w:pPr>
                    <w:pStyle w:val="43"/>
                    <w:spacing w:before="24" w:after="2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831"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p>
              </w:tc>
              <w:tc>
                <w:tcPr>
                  <w:tcW w:w="1022" w:type="dxa"/>
                  <w:vMerge w:val="continue"/>
                  <w:shd w:val="clear" w:color="auto" w:fill="FFFFFF"/>
                  <w:vAlign w:val="center"/>
                </w:tcPr>
                <w:p>
                  <w:pPr>
                    <w:pStyle w:val="43"/>
                    <w:spacing w:before="24" w:after="24"/>
                    <w:jc w:val="center"/>
                    <w:rPr>
                      <w:rFonts w:hint="default" w:ascii="Times New Roman" w:hAnsi="Times New Roman" w:eastAsia="宋体" w:cs="Times New Roman"/>
                      <w:sz w:val="21"/>
                      <w:szCs w:val="21"/>
                    </w:rPr>
                  </w:pPr>
                </w:p>
              </w:tc>
              <w:tc>
                <w:tcPr>
                  <w:tcW w:w="774" w:type="dxa"/>
                  <w:shd w:val="clear" w:color="auto" w:fill="FFFFFF"/>
                  <w:vAlign w:val="center"/>
                </w:tcPr>
                <w:p>
                  <w:pPr>
                    <w:pStyle w:val="43"/>
                    <w:keepNext w:val="0"/>
                    <w:keepLines w:val="0"/>
                    <w:pageBreakBefore w:val="0"/>
                    <w:widowControl w:val="0"/>
                    <w:kinsoku/>
                    <w:wordWrap/>
                    <w:overflowPunct/>
                    <w:topLinePunct w:val="0"/>
                    <w:autoSpaceDE/>
                    <w:autoSpaceDN/>
                    <w:bidi w:val="0"/>
                    <w:adjustRightInd w:val="0"/>
                    <w:snapToGrid w:val="0"/>
                    <w:spacing w:before="31" w:after="31"/>
                    <w:ind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390" w:type="dxa"/>
                  <w:shd w:val="clear" w:color="auto" w:fill="FFFFFF"/>
                  <w:vAlign w:val="center"/>
                </w:tcPr>
                <w:p>
                  <w:pPr>
                    <w:widowControl/>
                    <w:jc w:val="center"/>
                    <w:rPr>
                      <w:rFonts w:hint="default" w:ascii="Times New Roman" w:hAnsi="Times New Roman" w:cs="Times New Roman"/>
                      <w:bCs/>
                      <w:sz w:val="21"/>
                      <w:szCs w:val="21"/>
                      <w:lang w:val="en-US"/>
                    </w:rPr>
                  </w:pPr>
                  <w:r>
                    <w:rPr>
                      <w:rFonts w:hint="eastAsia" w:ascii="Times New Roman" w:hAnsi="Times New Roman" w:cs="Times New Roman"/>
                      <w:szCs w:val="21"/>
                      <w:lang w:val="en-US" w:eastAsia="zh-CN"/>
                    </w:rPr>
                    <w:t>80.125</w:t>
                  </w:r>
                </w:p>
              </w:tc>
              <w:tc>
                <w:tcPr>
                  <w:tcW w:w="1238" w:type="dxa"/>
                  <w:shd w:val="clear" w:color="auto" w:fill="FFFFFF"/>
                  <w:vAlign w:val="center"/>
                </w:tcPr>
                <w:p>
                  <w:pPr>
                    <w:widowControl/>
                    <w:jc w:val="center"/>
                    <w:rPr>
                      <w:rFonts w:hint="default" w:ascii="Times New Roman" w:hAnsi="Times New Roman" w:cs="Times New Roman"/>
                      <w:bCs/>
                      <w:sz w:val="21"/>
                      <w:szCs w:val="21"/>
                    </w:rPr>
                  </w:pPr>
                  <w:r>
                    <w:rPr>
                      <w:rFonts w:hint="eastAsia" w:ascii="Times New Roman" w:hAnsi="Times New Roman" w:cs="Times New Roman"/>
                      <w:szCs w:val="21"/>
                      <w:lang w:val="en-US" w:eastAsia="zh-CN"/>
                    </w:rPr>
                    <w:t>0.042</w:t>
                  </w:r>
                </w:p>
              </w:tc>
              <w:tc>
                <w:tcPr>
                  <w:tcW w:w="925" w:type="dxa"/>
                  <w:shd w:val="clear" w:color="auto" w:fill="FFFFFF"/>
                  <w:vAlign w:val="center"/>
                </w:tcPr>
                <w:p>
                  <w:pPr>
                    <w:spacing w:before="74"/>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1010" w:type="dxa"/>
                  <w:shd w:val="clear" w:color="auto" w:fill="FFFFFF"/>
                  <w:vAlign w:val="center"/>
                </w:tcPr>
                <w:p>
                  <w:pPr>
                    <w:pStyle w:val="43"/>
                    <w:spacing w:before="24" w:after="2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69" w:type="dxa"/>
                  <w:vMerge w:val="continue"/>
                  <w:shd w:val="clear" w:color="auto" w:fill="FFFFFF"/>
                  <w:vAlign w:val="center"/>
                </w:tcPr>
                <w:p>
                  <w:pPr>
                    <w:pStyle w:val="43"/>
                    <w:spacing w:before="24" w:after="24"/>
                    <w:jc w:val="center"/>
                    <w:rPr>
                      <w:rFonts w:hint="default" w:ascii="Times New Roman" w:hAnsi="Times New Roman" w:eastAsia="宋体" w:cs="Times New Roman"/>
                      <w:sz w:val="21"/>
                      <w:szCs w:val="21"/>
                    </w:rPr>
                  </w:pPr>
                </w:p>
              </w:tc>
            </w:tr>
          </w:tbl>
          <w:p>
            <w:pPr>
              <w:pStyle w:val="17"/>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（5）小结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sz w:val="24"/>
                <w:szCs w:val="24"/>
                <w:lang w:val="en-US" w:eastAsia="zh-CN"/>
              </w:rPr>
            </w:pPr>
            <w:r>
              <w:rPr>
                <w:rFonts w:hint="default" w:ascii="Times New Roman" w:hAnsi="Times New Roman" w:cs="Times New Roman"/>
                <w:sz w:val="24"/>
                <w:szCs w:val="24"/>
              </w:rPr>
              <w:t>本项目产生废气经处理后对周围环境的影响较小，大气环境影响可接受，全厂设置防护距离为以</w:t>
            </w:r>
            <w:r>
              <w:rPr>
                <w:rFonts w:hint="default" w:ascii="Times New Roman" w:hAnsi="Times New Roman" w:cs="Times New Roman"/>
                <w:sz w:val="24"/>
                <w:szCs w:val="24"/>
                <w:lang w:val="en-US" w:eastAsia="zh-CN"/>
              </w:rPr>
              <w:t>生产车间</w:t>
            </w:r>
            <w:r>
              <w:rPr>
                <w:rFonts w:hint="default" w:ascii="Times New Roman" w:hAnsi="Times New Roman" w:cs="Times New Roman"/>
                <w:sz w:val="24"/>
                <w:szCs w:val="24"/>
              </w:rPr>
              <w:t>外扩</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0米形成的包络线，该卫生防护距离包络线范围内无敏感保护目标，以后也不得在卫生防护距离内建设居住区等环境敏感目标，以避免环境纠纷。</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b/>
                <w:bCs w:val="0"/>
                <w:sz w:val="24"/>
                <w:szCs w:val="24"/>
              </w:rPr>
            </w:pPr>
            <w:r>
              <w:rPr>
                <w:rFonts w:hint="eastAsia" w:ascii="Times New Roman" w:hAnsi="Times New Roman" w:cs="Times New Roman"/>
                <w:b/>
                <w:bCs w:val="0"/>
                <w:sz w:val="24"/>
                <w:szCs w:val="24"/>
              </w:rPr>
              <w:t>3、</w:t>
            </w:r>
            <w:r>
              <w:rPr>
                <w:rFonts w:ascii="Times New Roman" w:hAnsi="Times New Roman" w:cs="Times New Roman"/>
                <w:b/>
                <w:bCs w:val="0"/>
                <w:sz w:val="24"/>
                <w:szCs w:val="24"/>
              </w:rPr>
              <w:t>噪声环境影响分析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Cs/>
                <w:sz w:val="24"/>
                <w:szCs w:val="24"/>
              </w:rPr>
            </w:pPr>
            <w:r>
              <w:rPr>
                <w:rFonts w:hint="eastAsia" w:ascii="Times New Roman" w:hAnsi="Times New Roman" w:cs="Times New Roman"/>
                <w:bCs/>
                <w:sz w:val="24"/>
                <w:szCs w:val="24"/>
              </w:rPr>
              <w:t>（1）</w:t>
            </w:r>
            <w:r>
              <w:rPr>
                <w:rFonts w:ascii="Times New Roman" w:hAnsi="Times New Roman" w:cs="Times New Roman"/>
                <w:bCs/>
                <w:sz w:val="24"/>
                <w:szCs w:val="24"/>
              </w:rPr>
              <w:t>预测内容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sz w:val="24"/>
                <w:szCs w:val="24"/>
              </w:rPr>
            </w:pPr>
            <w:r>
              <w:rPr>
                <w:rFonts w:ascii="Times New Roman" w:hAnsi="Times New Roman" w:cs="Times New Roman"/>
                <w:bCs/>
                <w:sz w:val="24"/>
                <w:szCs w:val="24"/>
              </w:rPr>
              <w:t>预测范围为厂界，预测时段为运营期。最终的厂界噪声是本项目建成后的设备噪声影响与环境噪声背景值的叠加结果。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（2）预测模式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bCs/>
                <w:sz w:val="24"/>
                <w:szCs w:val="24"/>
              </w:rPr>
              <w:t>预测模式采用《环境</w:t>
            </w:r>
            <w:r>
              <w:rPr>
                <w:rFonts w:ascii="Times New Roman" w:hAnsi="Times New Roman" w:cs="Times New Roman"/>
                <w:sz w:val="24"/>
                <w:szCs w:val="24"/>
              </w:rPr>
              <w:t>影响评价技术导则声环境》（HJ2.4-2009）中推荐的模型。噪声在传播过程中受到多种因素的干扰，使其产生衰减，根据建设项目噪声源和环境特征，预测过程中考虑了厂房等建筑物的屏障作用、空气吸收。预测模式采用点声源处于半自由空间的几何发散模式。</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室外点声源利用点源衰减公式：</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6" o:spt="75" type="#_x0000_t75" style="height:19pt;width:152.05pt;" o:ole="t" filled="f" o:preferrelative="t" stroked="f" coordsize="21600,21600">
                  <v:path/>
                  <v:fill on="f" focussize="0,0"/>
                  <v:stroke on="f"/>
                  <v:imagedata r:id="rId11" o:title=""/>
                  <o:lock v:ext="edit" aspectratio="t"/>
                  <w10:wrap type="none"/>
                  <w10:anchorlock/>
                </v:shape>
                <o:OLEObject Type="Embed" ProgID="Equations" ShapeID="_x0000_i1026" DrawAspect="Content" ObjectID="_1468075726" r:id="rId10">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式中：LA(r)、LA(r0)分别是距声源r、r0处的A声级值。</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对于室内声源按下列步骤计算：</w:t>
            </w:r>
          </w:p>
          <w:p>
            <w:pPr>
              <w:spacing w:line="360" w:lineRule="auto"/>
              <w:ind w:firstLine="480" w:firstLineChars="200"/>
              <w:rPr>
                <w:rFonts w:ascii="Times New Roman" w:hAnsi="Times New Roman" w:cs="Times New Roman"/>
                <w:sz w:val="24"/>
                <w:szCs w:val="24"/>
              </w:rPr>
            </w:pPr>
            <w:r>
              <w:rPr>
                <w:rFonts w:hint="eastAsia"/>
                <w:sz w:val="24"/>
                <w:szCs w:val="24"/>
              </w:rPr>
              <w:t>①</w:t>
            </w:r>
            <w:r>
              <w:rPr>
                <w:rFonts w:ascii="Times New Roman" w:hAnsi="Times New Roman" w:cs="Times New Roman"/>
                <w:sz w:val="24"/>
                <w:szCs w:val="24"/>
              </w:rPr>
              <w:t>由类比监测取得室外靠近围护结构处的声压级LA(r0)。</w:t>
            </w:r>
          </w:p>
          <w:p>
            <w:pPr>
              <w:spacing w:line="360" w:lineRule="auto"/>
              <w:ind w:firstLine="480" w:firstLineChars="200"/>
              <w:rPr>
                <w:rFonts w:ascii="Times New Roman" w:hAnsi="Times New Roman" w:cs="Times New Roman"/>
                <w:sz w:val="24"/>
                <w:szCs w:val="24"/>
              </w:rPr>
            </w:pPr>
            <w:r>
              <w:rPr>
                <w:rFonts w:hint="eastAsia"/>
                <w:sz w:val="24"/>
                <w:szCs w:val="24"/>
              </w:rPr>
              <w:t>②</w:t>
            </w:r>
            <w:r>
              <w:rPr>
                <w:rFonts w:ascii="Times New Roman" w:hAnsi="Times New Roman" w:cs="Times New Roman"/>
                <w:sz w:val="24"/>
                <w:szCs w:val="24"/>
              </w:rPr>
              <w:t>将室外声级LA(r0)和透声面积换算成等效的室外声源。计算出等效源的声功率级：</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7" o:spt="75" type="#_x0000_t75" style="height:19pt;width:102pt;" o:ole="t" filled="f" o:preferrelative="t" stroked="f" coordsize="21600,21600">
                  <v:path/>
                  <v:fill on="f" focussize="0,0"/>
                  <v:stroke on="f"/>
                  <v:imagedata r:id="rId13" o:title=""/>
                  <o:lock v:ext="edit" aspectratio="t"/>
                  <w10:wrap type="none"/>
                  <w10:anchorlock/>
                </v:shape>
                <o:OLEObject Type="Embed" ProgID="Equations" ShapeID="_x0000_i1027" DrawAspect="Content" ObjectID="_1468075727" r:id="rId12">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式中S为透声面积。</w:t>
            </w:r>
          </w:p>
          <w:p>
            <w:pPr>
              <w:spacing w:line="360" w:lineRule="auto"/>
              <w:ind w:firstLine="480" w:firstLineChars="200"/>
              <w:rPr>
                <w:rFonts w:ascii="Times New Roman" w:hAnsi="Times New Roman" w:cs="Times New Roman"/>
                <w:sz w:val="24"/>
                <w:szCs w:val="24"/>
              </w:rPr>
            </w:pPr>
            <w:r>
              <w:rPr>
                <w:rFonts w:hint="eastAsia"/>
                <w:sz w:val="24"/>
                <w:szCs w:val="24"/>
              </w:rPr>
              <w:t>③</w:t>
            </w:r>
            <w:r>
              <w:rPr>
                <w:rFonts w:ascii="Times New Roman" w:hAnsi="Times New Roman" w:cs="Times New Roman"/>
                <w:sz w:val="24"/>
                <w:szCs w:val="24"/>
              </w:rPr>
              <w:t>用下式计算出等效室外声源在预测点的声压级。</w:t>
            </w:r>
          </w:p>
          <w:p>
            <w:pPr>
              <w:spacing w:line="500" w:lineRule="exact"/>
              <w:jc w:val="center"/>
              <w:rPr>
                <w:rFonts w:ascii="Times New Roman" w:hAnsi="Times New Roman" w:cs="Times New Roman"/>
                <w:sz w:val="24"/>
                <w:szCs w:val="24"/>
              </w:rPr>
            </w:pPr>
            <w:r>
              <w:rPr>
                <w:rFonts w:ascii="Times New Roman" w:hAnsi="Times New Roman" w:cs="Times New Roman"/>
                <w:sz w:val="24"/>
                <w:szCs w:val="24"/>
              </w:rPr>
              <w:object>
                <v:shape id="_x0000_i1028" o:spt="75" type="#_x0000_t75" style="height:19pt;width:185.9pt;" o:ole="t" filled="f" o:preferrelative="t" stroked="f" coordsize="21600,21600">
                  <v:path/>
                  <v:fill on="f" focussize="0,0"/>
                  <v:stroke on="f"/>
                  <v:imagedata r:id="rId15" o:title=""/>
                  <o:lock v:ext="edit" aspectratio="t"/>
                  <w10:wrap type="none"/>
                  <w10:anchorlock/>
                </v:shape>
                <o:OLEObject Type="Embed" ProgID="Equations" ShapeID="_x0000_i1028" DrawAspect="Content" ObjectID="_1468075728" r:id="rId14">
                  <o:LockedField>false</o:LockedField>
                </o:OLEObject>
              </w:object>
            </w:r>
          </w:p>
          <w:p>
            <w:pPr>
              <w:spacing w:line="360" w:lineRule="auto"/>
              <w:ind w:firstLine="480" w:firstLineChars="200"/>
              <w:rPr>
                <w:rFonts w:ascii="Times New Roman" w:hAnsi="Times New Roman" w:cs="Times New Roman"/>
                <w:sz w:val="24"/>
                <w:szCs w:val="24"/>
              </w:rPr>
            </w:pPr>
            <w:r>
              <w:rPr>
                <w:rFonts w:hint="eastAsia"/>
                <w:sz w:val="24"/>
                <w:szCs w:val="24"/>
              </w:rPr>
              <w:t>④</w:t>
            </w:r>
            <w:r>
              <w:rPr>
                <w:rFonts w:ascii="Times New Roman" w:hAnsi="Times New Roman" w:cs="Times New Roman"/>
                <w:sz w:val="24"/>
                <w:szCs w:val="24"/>
              </w:rPr>
              <w:t>用下式计算各噪声源对预测点贡献声级及背景噪声叠加。</w:t>
            </w:r>
          </w:p>
          <w:p>
            <w:pPr>
              <w:jc w:val="center"/>
              <w:rPr>
                <w:rFonts w:ascii="Times New Roman" w:hAnsi="Times New Roman" w:cs="Times New Roman"/>
                <w:sz w:val="24"/>
                <w:szCs w:val="24"/>
              </w:rPr>
            </w:pPr>
            <w:r>
              <w:rPr>
                <w:rFonts w:ascii="Times New Roman" w:hAnsi="Times New Roman" w:cs="Times New Roman"/>
                <w:sz w:val="24"/>
                <w:szCs w:val="24"/>
              </w:rPr>
              <w:object>
                <v:shape id="_x0000_i1029" o:spt="75" type="#_x0000_t75" style="height:35pt;width:111.95pt;" o:ole="t" filled="f" o:preferrelative="t" stroked="f" coordsize="21600,21600">
                  <v:path/>
                  <v:fill on="f" focussize="0,0"/>
                  <v:stroke on="f"/>
                  <v:imagedata r:id="rId17" o:title=""/>
                  <o:lock v:ext="edit" aspectratio="t"/>
                  <w10:wrap type="none"/>
                  <w10:anchorlock/>
                </v:shape>
                <o:OLEObject Type="Embed" ProgID="Equations" ShapeID="_x0000_i1029" DrawAspect="Content" ObjectID="_1468075729" r:id="rId16">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式中：LAi为声源单独作用时预测处的A声级，n为声源个数。</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户外建筑物的声屏障效应：</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声屏障的隔声效应与声源和接收点、屏障位置、屏障高度和屏障长度及结构性质有关，我们根据它们之间的距离、声音的频率(一般取500HZ)算出菲涅尔系数，然后再查表找出相对应的衰减值(dB)。菲涅尔系数的计算方法如下：</w:t>
            </w:r>
          </w:p>
          <w:p>
            <w:pPr>
              <w:jc w:val="center"/>
              <w:rPr>
                <w:rFonts w:ascii="Times New Roman" w:hAnsi="Times New Roman" w:cs="Times New Roman"/>
                <w:sz w:val="24"/>
                <w:szCs w:val="24"/>
              </w:rPr>
            </w:pPr>
            <w:r>
              <w:rPr>
                <w:rFonts w:ascii="Times New Roman" w:hAnsi="Times New Roman" w:cs="Times New Roman"/>
                <w:sz w:val="24"/>
                <w:szCs w:val="24"/>
              </w:rPr>
              <w:object>
                <v:shape id="_x0000_i1030" o:spt="75" type="#_x0000_t75" style="height:24pt;width:88.05pt;" o:ole="t" filled="f" o:preferrelative="t" stroked="f" coordsize="21600,21600">
                  <v:path/>
                  <v:fill on="f" focussize="0,0"/>
                  <v:stroke on="f"/>
                  <v:imagedata r:id="rId19" o:title=""/>
                  <o:lock v:ext="edit" aspectratio="t"/>
                  <w10:wrap type="none"/>
                  <w10:anchorlock/>
                </v:shape>
                <o:OLEObject Type="Embed" ProgID="Equations" ShapeID="_x0000_i1030" DrawAspect="Content" ObjectID="_1468075730" r:id="rId18">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式中：A—是声源与屏障顶端的距离；B—是接收点与屏障顶端的距离；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d—是声源与接收点间的距离；λ—波长。</w:t>
            </w: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空气吸收引起的衰减(Aatm)：</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空气吸收引起的衰减按以下公式计算：</w:t>
            </w:r>
          </w:p>
          <w:p>
            <w:pPr>
              <w:jc w:val="center"/>
              <w:rPr>
                <w:rFonts w:ascii="Times New Roman" w:hAnsi="Times New Roman" w:cs="Times New Roman"/>
                <w:sz w:val="24"/>
                <w:szCs w:val="24"/>
              </w:rPr>
            </w:pPr>
            <w:r>
              <w:rPr>
                <w:rFonts w:ascii="Times New Roman" w:hAnsi="Times New Roman" w:cs="Times New Roman"/>
                <w:position w:val="-24"/>
                <w:sz w:val="24"/>
                <w:szCs w:val="24"/>
              </w:rPr>
              <w:object>
                <v:shape id="_x0000_i1031" o:spt="75" type="#_x0000_t75" style="height:30pt;width:86pt;" o:ole="t" filled="f" o:preferrelative="t" stroked="f" coordsize="21600,21600">
                  <v:path/>
                  <v:fill on="f" focussize="0,0"/>
                  <v:stroke on="f"/>
                  <v:imagedata r:id="rId21" o:title=""/>
                  <o:lock v:ext="edit" aspectratio="t"/>
                  <w10:wrap type="none"/>
                  <w10:anchorlock/>
                </v:shape>
                <o:OLEObject Type="Embed" ProgID="Equations" ShapeID="_x0000_i1031" DrawAspect="Content" ObjectID="_1468075731" r:id="rId20">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式中：a为温度、湿度和声波频率的函数，预测计算中一般根据建设项目所处区域常年平均气温和湿度选择相应的空气吸收系数，见表7-</w:t>
            </w:r>
            <w:r>
              <w:rPr>
                <w:rFonts w:hint="eastAsia" w:ascii="Times New Roman" w:hAnsi="Times New Roman" w:cs="Times New Roman"/>
                <w:sz w:val="24"/>
                <w:szCs w:val="24"/>
                <w:lang w:val="en-US" w:eastAsia="zh-CN"/>
              </w:rPr>
              <w:t>4</w:t>
            </w:r>
            <w:r>
              <w:rPr>
                <w:rFonts w:ascii="Times New Roman" w:hAnsi="Times New Roman" w:cs="Times New Roman"/>
                <w:sz w:val="24"/>
                <w:szCs w:val="24"/>
              </w:rPr>
              <w:t>。</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4</w:t>
            </w:r>
            <w:r>
              <w:rPr>
                <w:rFonts w:ascii="Times New Roman" w:hAnsi="Times New Roman" w:cs="Times New Roman"/>
                <w:b/>
                <w:sz w:val="24"/>
                <w:szCs w:val="24"/>
              </w:rPr>
              <w:t xml:space="preserve"> 倍频带噪声的大气吸收衰减系数</w:t>
            </w:r>
          </w:p>
          <w:tbl>
            <w:tblPr>
              <w:tblStyle w:val="15"/>
              <w:tblW w:w="7831" w:type="dxa"/>
              <w:jc w:val="center"/>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24"/>
              <w:gridCol w:w="877"/>
              <w:gridCol w:w="791"/>
              <w:gridCol w:w="792"/>
              <w:gridCol w:w="791"/>
              <w:gridCol w:w="792"/>
              <w:gridCol w:w="792"/>
              <w:gridCol w:w="791"/>
              <w:gridCol w:w="792"/>
              <w:gridCol w:w="7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restart"/>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温度</w:t>
                  </w:r>
                </w:p>
                <w:p>
                  <w:pPr>
                    <w:pStyle w:val="12"/>
                    <w:jc w:val="center"/>
                    <w:rPr>
                      <w:rFonts w:ascii="Times New Roman" w:hAnsi="Times New Roman" w:cs="Times New Roman"/>
                      <w:b w:val="0"/>
                      <w:bCs w:val="0"/>
                      <w:sz w:val="21"/>
                      <w:szCs w:val="21"/>
                    </w:rPr>
                  </w:pPr>
                  <w:r>
                    <w:rPr>
                      <w:rFonts w:ascii="Times New Roman" w:hAnsi="Times New Roman" w:cs="Times New Roman"/>
                      <w:sz w:val="21"/>
                      <w:szCs w:val="21"/>
                    </w:rPr>
                    <w:t>℃</w:t>
                  </w:r>
                </w:p>
              </w:tc>
              <w:tc>
                <w:tcPr>
                  <w:tcW w:w="877" w:type="dxa"/>
                  <w:vMerge w:val="restart"/>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相对湿度%</w:t>
                  </w:r>
                </w:p>
              </w:tc>
              <w:tc>
                <w:tcPr>
                  <w:tcW w:w="6330" w:type="dxa"/>
                  <w:gridSpan w:val="8"/>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大气吸收衰减系数a，dB/km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877"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6330" w:type="dxa"/>
                  <w:gridSpan w:val="8"/>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倍频带中心频率Hz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8" w:hRule="atLeast"/>
                <w:jc w:val="center"/>
              </w:trPr>
              <w:tc>
                <w:tcPr>
                  <w:tcW w:w="624"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877" w:type="dxa"/>
                  <w:vMerge w:val="continue"/>
                  <w:shd w:val="clear" w:color="auto" w:fill="auto"/>
                  <w:vAlign w:val="center"/>
                </w:tcPr>
                <w:p>
                  <w:pPr>
                    <w:pStyle w:val="12"/>
                    <w:jc w:val="center"/>
                    <w:rPr>
                      <w:rFonts w:ascii="Times New Roman" w:hAnsi="Times New Roman" w:cs="Times New Roman"/>
                      <w:b w:val="0"/>
                      <w:bCs w:val="0"/>
                      <w:sz w:val="21"/>
                      <w:szCs w:val="21"/>
                    </w:rPr>
                  </w:pP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63</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125</w:t>
                  </w: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250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500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1000</w:t>
                  </w:r>
                </w:p>
              </w:tc>
              <w:tc>
                <w:tcPr>
                  <w:tcW w:w="791"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2000</w:t>
                  </w:r>
                </w:p>
              </w:tc>
              <w:tc>
                <w:tcPr>
                  <w:tcW w:w="792"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4000</w:t>
                  </w:r>
                </w:p>
              </w:tc>
              <w:tc>
                <w:tcPr>
                  <w:tcW w:w="789" w:type="dxa"/>
                  <w:shd w:val="clear" w:color="auto" w:fill="auto"/>
                  <w:vAlign w:val="center"/>
                </w:tcPr>
                <w:p>
                  <w:pPr>
                    <w:pStyle w:val="12"/>
                    <w:jc w:val="center"/>
                    <w:rPr>
                      <w:rFonts w:ascii="Times New Roman" w:hAnsi="Times New Roman" w:cs="Times New Roman"/>
                      <w:b w:val="0"/>
                      <w:bCs w:val="0"/>
                      <w:sz w:val="21"/>
                      <w:szCs w:val="21"/>
                    </w:rPr>
                  </w:pPr>
                  <w:r>
                    <w:rPr>
                      <w:rFonts w:ascii="Times New Roman" w:hAnsi="Times New Roman" w:cs="Times New Roman"/>
                      <w:sz w:val="21"/>
                      <w:szCs w:val="21"/>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0.4</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1.9</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3.7</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32.8</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22.9</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30</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7.4</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23.1</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0.6</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2.7</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8.2</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28.8</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50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0.5</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2.2</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4.2</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10.8</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36.2</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0"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70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0.105</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0.381</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2.36</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4.08</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8.75</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2.64</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93.7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94" w:hRule="atLeast"/>
                <w:jc w:val="center"/>
              </w:trPr>
              <w:tc>
                <w:tcPr>
                  <w:tcW w:w="624"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15</w:t>
                  </w:r>
                </w:p>
              </w:tc>
              <w:tc>
                <w:tcPr>
                  <w:tcW w:w="877"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80</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0.3</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1.1</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2.4</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4.1</w:t>
                  </w:r>
                </w:p>
              </w:tc>
              <w:tc>
                <w:tcPr>
                  <w:tcW w:w="791"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8.3</w:t>
                  </w:r>
                </w:p>
              </w:tc>
              <w:tc>
                <w:tcPr>
                  <w:tcW w:w="792"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23.7</w:t>
                  </w:r>
                </w:p>
              </w:tc>
              <w:tc>
                <w:tcPr>
                  <w:tcW w:w="789" w:type="dxa"/>
                  <w:shd w:val="clear" w:color="auto" w:fill="auto"/>
                  <w:vAlign w:val="center"/>
                </w:tcPr>
                <w:p>
                  <w:pPr>
                    <w:pStyle w:val="12"/>
                    <w:jc w:val="center"/>
                    <w:rPr>
                      <w:rFonts w:ascii="Times New Roman" w:hAnsi="Times New Roman" w:cs="Times New Roman"/>
                      <w:b w:val="0"/>
                      <w:sz w:val="21"/>
                      <w:szCs w:val="21"/>
                    </w:rPr>
                  </w:pPr>
                  <w:r>
                    <w:rPr>
                      <w:rFonts w:ascii="Times New Roman" w:hAnsi="Times New Roman" w:cs="Times New Roman"/>
                      <w:b w:val="0"/>
                      <w:sz w:val="21"/>
                      <w:szCs w:val="21"/>
                    </w:rPr>
                    <w:t>82.8</w:t>
                  </w:r>
                </w:p>
              </w:tc>
            </w:tr>
          </w:tbl>
          <w:p>
            <w:pPr>
              <w:spacing w:line="360" w:lineRule="auto"/>
              <w:ind w:firstLine="472" w:firstLineChars="200"/>
              <w:rPr>
                <w:rFonts w:ascii="Times New Roman" w:hAnsi="Times New Roman" w:cs="Times New Roman"/>
                <w:bCs/>
                <w:spacing w:val="-2"/>
                <w:sz w:val="24"/>
                <w:szCs w:val="24"/>
              </w:rPr>
            </w:pPr>
            <w:r>
              <w:rPr>
                <w:rFonts w:ascii="Times New Roman" w:hAnsi="Times New Roman" w:cs="Times New Roman"/>
                <w:bCs/>
                <w:spacing w:val="-2"/>
                <w:sz w:val="24"/>
                <w:szCs w:val="24"/>
              </w:rPr>
              <w:t>（3）噪声源强</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企业噪声源强主要为设备产生的机械噪声，全厂噪声源情况见表7-</w:t>
            </w:r>
            <w:r>
              <w:rPr>
                <w:rFonts w:hint="eastAsia" w:ascii="Times New Roman" w:hAnsi="Times New Roman" w:cs="Times New Roman"/>
                <w:sz w:val="24"/>
                <w:szCs w:val="24"/>
                <w:lang w:val="en-US" w:eastAsia="zh-CN"/>
              </w:rPr>
              <w:t>5</w:t>
            </w:r>
            <w:r>
              <w:rPr>
                <w:rFonts w:ascii="Times New Roman" w:hAnsi="Times New Roman" w:cs="Times New Roman"/>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5</w:t>
            </w:r>
            <w:r>
              <w:rPr>
                <w:rFonts w:ascii="Times New Roman" w:hAnsi="Times New Roman" w:cs="Times New Roman"/>
                <w:b/>
                <w:sz w:val="24"/>
                <w:szCs w:val="24"/>
              </w:rPr>
              <w:t xml:space="preserve"> 主要噪声源情况</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359"/>
              <w:gridCol w:w="1548"/>
              <w:gridCol w:w="1932"/>
              <w:gridCol w:w="88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2359"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噪声源</w:t>
                  </w:r>
                </w:p>
              </w:tc>
              <w:tc>
                <w:tcPr>
                  <w:tcW w:w="154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数量（个/台）</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单台等效声级（dB（A））</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位置</w:t>
                  </w:r>
                </w:p>
              </w:tc>
              <w:tc>
                <w:tcPr>
                  <w:tcW w:w="973"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混合噪声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烘干机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eastAsia="zh-CN"/>
                    </w:rPr>
                  </w:pPr>
                  <w:r>
                    <w:rPr>
                      <w:rStyle w:val="18"/>
                      <w:rFonts w:hint="default"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restart"/>
                  <w:tcBorders>
                    <w:top w:val="single" w:color="auto" w:sz="4" w:space="0"/>
                    <w:left w:val="nil"/>
                    <w:right w:val="single" w:color="auto" w:sz="4" w:space="0"/>
                  </w:tcBorders>
                  <w:shd w:val="clear" w:color="auto" w:fill="auto"/>
                  <w:vAlign w:val="center"/>
                </w:tcPr>
                <w:p>
                  <w:pPr>
                    <w:pStyle w:val="23"/>
                    <w:widowControl/>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热风炉</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Style w:val="18"/>
                      <w:rFonts w:hint="eastAsia"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spacing w:line="240" w:lineRule="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2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风机</w:t>
                  </w:r>
                </w:p>
              </w:tc>
              <w:tc>
                <w:tcPr>
                  <w:tcW w:w="1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Style w:val="18"/>
                      <w:rFonts w:hint="default" w:ascii="Times New Roman" w:hAnsi="Times New Roman" w:eastAsia="宋体" w:cs="Times New Roman"/>
                      <w:b w:val="0"/>
                      <w:color w:val="auto"/>
                      <w:sz w:val="21"/>
                      <w:szCs w:val="21"/>
                      <w:lang w:val="en-US" w:eastAsia="zh-CN" w:bidi="ar"/>
                    </w:rPr>
                  </w:pPr>
                  <w:r>
                    <w:rPr>
                      <w:rStyle w:val="18"/>
                      <w:rFonts w:hint="eastAsia" w:ascii="Times New Roman" w:hAnsi="Times New Roman" w:eastAsia="宋体" w:cs="Times New Roman"/>
                      <w:b w:val="0"/>
                      <w:color w:val="auto"/>
                      <w:sz w:val="21"/>
                      <w:szCs w:val="21"/>
                      <w:lang w:val="en-US" w:eastAsia="zh-CN" w:bidi="ar"/>
                    </w:rPr>
                    <w:t>1</w:t>
                  </w:r>
                </w:p>
              </w:tc>
              <w:tc>
                <w:tcPr>
                  <w:tcW w:w="1932"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cs="Times New Roman"/>
                      <w:color w:val="auto"/>
                      <w:sz w:val="21"/>
                      <w:szCs w:val="21"/>
                      <w:lang w:val="en-US" w:eastAsia="zh-CN"/>
                    </w:rPr>
                  </w:pPr>
                  <w:r>
                    <w:rPr>
                      <w:rFonts w:hint="eastAsia" w:cs="Times New Roman"/>
                      <w:color w:val="auto"/>
                      <w:sz w:val="21"/>
                      <w:szCs w:val="21"/>
                      <w:lang w:val="en-US" w:eastAsia="zh-CN"/>
                    </w:rPr>
                    <w:t>85</w:t>
                  </w:r>
                </w:p>
              </w:tc>
              <w:tc>
                <w:tcPr>
                  <w:tcW w:w="888"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室内</w:t>
                  </w:r>
                </w:p>
              </w:tc>
              <w:tc>
                <w:tcPr>
                  <w:tcW w:w="973" w:type="dxa"/>
                  <w:vMerge w:val="continue"/>
                  <w:tcBorders>
                    <w:left w:val="nil"/>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p>
              </w:tc>
            </w:tr>
          </w:tbl>
          <w:p>
            <w:pPr>
              <w:spacing w:line="360" w:lineRule="auto"/>
              <w:ind w:firstLine="472" w:firstLineChars="200"/>
              <w:rPr>
                <w:rFonts w:ascii="Times New Roman" w:hAnsi="Times New Roman" w:cs="Times New Roman"/>
                <w:bCs/>
                <w:spacing w:val="-2"/>
                <w:sz w:val="24"/>
                <w:szCs w:val="24"/>
              </w:rPr>
            </w:pPr>
            <w:r>
              <w:rPr>
                <w:rFonts w:ascii="Times New Roman" w:hAnsi="Times New Roman" w:cs="Times New Roman"/>
                <w:bCs/>
                <w:spacing w:val="-2"/>
                <w:sz w:val="24"/>
                <w:szCs w:val="24"/>
              </w:rPr>
              <w:t>（4）预测结果与评价</w:t>
            </w:r>
          </w:p>
          <w:p>
            <w:pPr>
              <w:spacing w:line="360" w:lineRule="auto"/>
              <w:ind w:firstLine="480" w:firstLineChars="200"/>
              <w:jc w:val="left"/>
              <w:rPr>
                <w:rFonts w:hint="eastAsia" w:ascii="Times New Roman" w:hAnsi="Times New Roman" w:cs="Times New Roman" w:eastAsiaTheme="minorEastAsia"/>
                <w:b/>
                <w:sz w:val="24"/>
                <w:szCs w:val="24"/>
                <w:lang w:eastAsia="zh-CN"/>
              </w:rPr>
            </w:pPr>
            <w:r>
              <w:rPr>
                <w:rFonts w:ascii="Times New Roman" w:hAnsi="Times New Roman" w:cs="Times New Roman"/>
                <w:sz w:val="24"/>
                <w:szCs w:val="24"/>
              </w:rPr>
              <w:t>本项目噪声影响预测主要为运营期对各厂界的噪声影响，取现状监测中最大值最为预测的本底值</w:t>
            </w:r>
            <w:r>
              <w:rPr>
                <w:rFonts w:hint="eastAsia" w:ascii="Times New Roman" w:hAnsi="Times New Roman" w:cs="Times New Roman"/>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各厂界噪声预测结果见表7-</w:t>
            </w:r>
            <w:r>
              <w:rPr>
                <w:rFonts w:hint="eastAsia" w:ascii="Times New Roman" w:hAnsi="Times New Roman" w:cs="Times New Roman"/>
                <w:sz w:val="24"/>
                <w:szCs w:val="24"/>
                <w:lang w:val="en-US" w:eastAsia="zh-CN"/>
              </w:rPr>
              <w:t>6</w:t>
            </w:r>
            <w:r>
              <w:rPr>
                <w:rFonts w:ascii="Times New Roman" w:hAnsi="Times New Roman" w:cs="Times New Roman"/>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6</w:t>
            </w:r>
            <w:r>
              <w:rPr>
                <w:rFonts w:ascii="Times New Roman" w:hAnsi="Times New Roman" w:cs="Times New Roman"/>
                <w:b/>
                <w:sz w:val="24"/>
                <w:szCs w:val="24"/>
              </w:rPr>
              <w:t>噪声预测结果  单位：dB(A)</w:t>
            </w:r>
          </w:p>
          <w:tbl>
            <w:tblPr>
              <w:tblStyle w:val="15"/>
              <w:tblW w:w="84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41"/>
              <w:gridCol w:w="841"/>
              <w:gridCol w:w="1036"/>
              <w:gridCol w:w="859"/>
              <w:gridCol w:w="1"/>
              <w:gridCol w:w="989"/>
              <w:gridCol w:w="906"/>
              <w:gridCol w:w="1"/>
              <w:gridCol w:w="840"/>
              <w:gridCol w:w="1051"/>
              <w:gridCol w:w="1"/>
              <w:gridCol w:w="1050"/>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85" w:hRule="atLeast"/>
              </w:trPr>
              <w:tc>
                <w:tcPr>
                  <w:tcW w:w="841" w:type="dxa"/>
                  <w:vMerge w:val="restart"/>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预测点</w:t>
                  </w:r>
                </w:p>
              </w:tc>
              <w:tc>
                <w:tcPr>
                  <w:tcW w:w="841" w:type="dxa"/>
                  <w:vMerge w:val="restart"/>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影响值</w:t>
                  </w:r>
                </w:p>
              </w:tc>
              <w:tc>
                <w:tcPr>
                  <w:tcW w:w="1896" w:type="dxa"/>
                  <w:gridSpan w:val="3"/>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本底值</w:t>
                  </w:r>
                </w:p>
              </w:tc>
              <w:tc>
                <w:tcPr>
                  <w:tcW w:w="1896" w:type="dxa"/>
                  <w:gridSpan w:val="3"/>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预测值</w:t>
                  </w:r>
                </w:p>
              </w:tc>
              <w:tc>
                <w:tcPr>
                  <w:tcW w:w="1892" w:type="dxa"/>
                  <w:gridSpan w:val="3"/>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标准值</w:t>
                  </w:r>
                </w:p>
              </w:tc>
              <w:tc>
                <w:tcPr>
                  <w:tcW w:w="1051" w:type="dxa"/>
                  <w:gridSpan w:val="2"/>
                  <w:vMerge w:val="restart"/>
                  <w:shd w:val="clear" w:color="auto" w:fill="auto"/>
                  <w:vAlign w:val="center"/>
                </w:tcPr>
                <w:p>
                  <w:pPr>
                    <w:spacing w:line="240" w:lineRule="atLeast"/>
                    <w:jc w:val="center"/>
                    <w:rPr>
                      <w:rFonts w:ascii="Times New Roman" w:hAnsi="Times New Roman" w:cs="Times New Roman"/>
                      <w:b/>
                      <w:sz w:val="21"/>
                      <w:szCs w:val="21"/>
                    </w:rPr>
                  </w:pPr>
                  <w:r>
                    <w:rPr>
                      <w:rFonts w:ascii="Times New Roman" w:hAnsi="Times New Roman" w:cs="Times New Roman"/>
                      <w:b/>
                      <w:sz w:val="21"/>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1" w:type="dxa"/>
                <w:trHeight w:val="285" w:hRule="atLeast"/>
              </w:trPr>
              <w:tc>
                <w:tcPr>
                  <w:tcW w:w="841" w:type="dxa"/>
                  <w:vMerge w:val="continue"/>
                  <w:shd w:val="clear" w:color="auto" w:fill="auto"/>
                  <w:vAlign w:val="center"/>
                </w:tcPr>
                <w:p>
                  <w:pPr>
                    <w:spacing w:line="240" w:lineRule="atLeast"/>
                    <w:jc w:val="center"/>
                    <w:rPr>
                      <w:rFonts w:ascii="Times New Roman" w:hAnsi="Times New Roman" w:cs="Times New Roman"/>
                      <w:b/>
                      <w:sz w:val="21"/>
                      <w:szCs w:val="21"/>
                    </w:rPr>
                  </w:pPr>
                </w:p>
              </w:tc>
              <w:tc>
                <w:tcPr>
                  <w:tcW w:w="841" w:type="dxa"/>
                  <w:vMerge w:val="continue"/>
                  <w:shd w:val="clear" w:color="auto" w:fill="auto"/>
                  <w:vAlign w:val="center"/>
                </w:tcPr>
                <w:p>
                  <w:pPr>
                    <w:spacing w:line="240" w:lineRule="atLeast"/>
                    <w:jc w:val="center"/>
                    <w:rPr>
                      <w:rFonts w:ascii="Times New Roman" w:hAnsi="Times New Roman" w:cs="Times New Roman"/>
                      <w:b/>
                      <w:sz w:val="21"/>
                      <w:szCs w:val="21"/>
                    </w:rPr>
                  </w:pPr>
                </w:p>
              </w:tc>
              <w:tc>
                <w:tcPr>
                  <w:tcW w:w="1036" w:type="dxa"/>
                  <w:shd w:val="clear" w:color="auto" w:fill="auto"/>
                  <w:vAlign w:val="center"/>
                </w:tcPr>
                <w:p>
                  <w:pPr>
                    <w:spacing w:line="240" w:lineRule="atLeast"/>
                    <w:jc w:val="center"/>
                    <w:rPr>
                      <w:rFonts w:hint="eastAsia" w:ascii="Times New Roman" w:hAnsi="Times New Roman" w:cs="Times New Roman" w:eastAsiaTheme="minorEastAsia"/>
                      <w:b/>
                      <w:sz w:val="21"/>
                      <w:szCs w:val="21"/>
                      <w:lang w:val="en-US" w:eastAsia="zh-CN"/>
                    </w:rPr>
                  </w:pPr>
                  <w:r>
                    <w:rPr>
                      <w:rFonts w:hint="eastAsia" w:ascii="Times New Roman" w:hAnsi="Times New Roman" w:cs="Times New Roman"/>
                      <w:b/>
                      <w:sz w:val="21"/>
                      <w:szCs w:val="21"/>
                      <w:lang w:val="en-US" w:eastAsia="zh-CN"/>
                    </w:rPr>
                    <w:t>昼间</w:t>
                  </w:r>
                </w:p>
              </w:tc>
              <w:tc>
                <w:tcPr>
                  <w:tcW w:w="859" w:type="dxa"/>
                  <w:shd w:val="clear" w:color="auto" w:fill="auto"/>
                  <w:vAlign w:val="center"/>
                </w:tcPr>
                <w:p>
                  <w:pPr>
                    <w:spacing w:line="240" w:lineRule="atLeast"/>
                    <w:jc w:val="center"/>
                    <w:rPr>
                      <w:rFonts w:hint="eastAsia" w:ascii="Times New Roman" w:hAnsi="Times New Roman" w:cs="Times New Roman" w:eastAsiaTheme="minorEastAsia"/>
                      <w:b/>
                      <w:sz w:val="21"/>
                      <w:szCs w:val="21"/>
                      <w:lang w:val="en-US" w:eastAsia="zh-CN"/>
                    </w:rPr>
                  </w:pPr>
                  <w:r>
                    <w:rPr>
                      <w:rFonts w:hint="eastAsia" w:ascii="Times New Roman" w:hAnsi="Times New Roman" w:cs="Times New Roman"/>
                      <w:b/>
                      <w:sz w:val="21"/>
                      <w:szCs w:val="21"/>
                      <w:lang w:val="en-US" w:eastAsia="zh-CN"/>
                    </w:rPr>
                    <w:t>夜间</w:t>
                  </w:r>
                </w:p>
              </w:tc>
              <w:tc>
                <w:tcPr>
                  <w:tcW w:w="990" w:type="dxa"/>
                  <w:gridSpan w:val="2"/>
                  <w:shd w:val="clear" w:color="auto" w:fill="auto"/>
                  <w:vAlign w:val="center"/>
                </w:tcPr>
                <w:p>
                  <w:pPr>
                    <w:spacing w:line="240" w:lineRule="atLeast"/>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昼间</w:t>
                  </w:r>
                </w:p>
              </w:tc>
              <w:tc>
                <w:tcPr>
                  <w:tcW w:w="906" w:type="dxa"/>
                  <w:shd w:val="clear" w:color="auto" w:fill="auto"/>
                  <w:vAlign w:val="center"/>
                </w:tcPr>
                <w:p>
                  <w:pPr>
                    <w:spacing w:line="240" w:lineRule="atLeast"/>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夜间</w:t>
                  </w:r>
                </w:p>
              </w:tc>
              <w:tc>
                <w:tcPr>
                  <w:tcW w:w="841" w:type="dxa"/>
                  <w:gridSpan w:val="2"/>
                  <w:shd w:val="clear" w:color="auto" w:fill="auto"/>
                  <w:vAlign w:val="center"/>
                </w:tcPr>
                <w:p>
                  <w:pPr>
                    <w:spacing w:line="240" w:lineRule="atLeast"/>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昼间</w:t>
                  </w:r>
                </w:p>
              </w:tc>
              <w:tc>
                <w:tcPr>
                  <w:tcW w:w="1051" w:type="dxa"/>
                  <w:shd w:val="clear" w:color="auto" w:fill="auto"/>
                  <w:vAlign w:val="center"/>
                </w:tcPr>
                <w:p>
                  <w:pPr>
                    <w:spacing w:line="240" w:lineRule="atLeast"/>
                    <w:jc w:val="center"/>
                    <w:rPr>
                      <w:rFonts w:ascii="Times New Roman" w:hAnsi="Times New Roman" w:cs="Times New Roman"/>
                      <w:b/>
                      <w:sz w:val="21"/>
                      <w:szCs w:val="21"/>
                    </w:rPr>
                  </w:pPr>
                  <w:r>
                    <w:rPr>
                      <w:rFonts w:hint="eastAsia" w:ascii="Times New Roman" w:hAnsi="Times New Roman" w:cs="Times New Roman"/>
                      <w:b/>
                      <w:sz w:val="21"/>
                      <w:szCs w:val="21"/>
                      <w:lang w:val="en-US" w:eastAsia="zh-CN"/>
                    </w:rPr>
                    <w:t>夜间</w:t>
                  </w:r>
                </w:p>
              </w:tc>
              <w:tc>
                <w:tcPr>
                  <w:tcW w:w="1051" w:type="dxa"/>
                  <w:gridSpan w:val="2"/>
                  <w:vMerge w:val="continue"/>
                  <w:shd w:val="clear" w:color="auto" w:fill="auto"/>
                  <w:vAlign w:val="center"/>
                </w:tcPr>
                <w:p>
                  <w:pPr>
                    <w:spacing w:line="240" w:lineRule="atLeast"/>
                    <w:jc w:val="center"/>
                    <w:rPr>
                      <w:rFonts w:ascii="Times New Roman" w:hAnsi="Times New Roman" w:cs="Times New Roman"/>
                      <w:b/>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1" w:type="dxa"/>
                <w:trHeight w:val="285" w:hRule="atLeast"/>
              </w:trPr>
              <w:tc>
                <w:tcPr>
                  <w:tcW w:w="841" w:type="dxa"/>
                  <w:shd w:val="clear" w:color="auto" w:fill="auto"/>
                  <w:vAlign w:val="center"/>
                </w:tcPr>
                <w:p>
                  <w:pPr>
                    <w:spacing w:line="240" w:lineRule="atLeast"/>
                    <w:jc w:val="center"/>
                    <w:rPr>
                      <w:rFonts w:hint="eastAsia" w:ascii="Times New Roman" w:hAnsi="Times New Roman" w:cs="Times New Roman" w:eastAsiaTheme="minorEastAsia"/>
                      <w:sz w:val="21"/>
                      <w:szCs w:val="21"/>
                      <w:lang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1</w:t>
                  </w:r>
                </w:p>
              </w:tc>
              <w:tc>
                <w:tcPr>
                  <w:tcW w:w="841"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39.5</w:t>
                  </w:r>
                </w:p>
              </w:tc>
              <w:tc>
                <w:tcPr>
                  <w:tcW w:w="1036"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48.2</w:t>
                  </w:r>
                </w:p>
              </w:tc>
              <w:tc>
                <w:tcPr>
                  <w:tcW w:w="859"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45.1</w:t>
                  </w:r>
                </w:p>
              </w:tc>
              <w:tc>
                <w:tcPr>
                  <w:tcW w:w="990" w:type="dxa"/>
                  <w:gridSpan w:val="2"/>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48.75</w:t>
                  </w:r>
                </w:p>
              </w:tc>
              <w:tc>
                <w:tcPr>
                  <w:tcW w:w="906"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46.16</w:t>
                  </w:r>
                </w:p>
              </w:tc>
              <w:tc>
                <w:tcPr>
                  <w:tcW w:w="841" w:type="dxa"/>
                  <w:gridSpan w:val="2"/>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60</w:t>
                  </w:r>
                </w:p>
              </w:tc>
              <w:tc>
                <w:tcPr>
                  <w:tcW w:w="1051" w:type="dxa"/>
                  <w:shd w:val="clear" w:color="auto" w:fill="auto"/>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50</w:t>
                  </w:r>
                </w:p>
              </w:tc>
              <w:tc>
                <w:tcPr>
                  <w:tcW w:w="1051" w:type="dxa"/>
                  <w:gridSpan w:val="2"/>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1" w:type="dxa"/>
                <w:trHeight w:val="285" w:hRule="atLeast"/>
              </w:trPr>
              <w:tc>
                <w:tcPr>
                  <w:tcW w:w="841"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2</w:t>
                  </w:r>
                </w:p>
              </w:tc>
              <w:tc>
                <w:tcPr>
                  <w:tcW w:w="841"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33.5</w:t>
                  </w:r>
                </w:p>
              </w:tc>
              <w:tc>
                <w:tcPr>
                  <w:tcW w:w="1036"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48.9</w:t>
                  </w:r>
                </w:p>
              </w:tc>
              <w:tc>
                <w:tcPr>
                  <w:tcW w:w="859"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45.4</w:t>
                  </w:r>
                </w:p>
              </w:tc>
              <w:tc>
                <w:tcPr>
                  <w:tcW w:w="990" w:type="dxa"/>
                  <w:gridSpan w:val="2"/>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49.02</w:t>
                  </w:r>
                </w:p>
              </w:tc>
              <w:tc>
                <w:tcPr>
                  <w:tcW w:w="906"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45.67</w:t>
                  </w:r>
                </w:p>
              </w:tc>
              <w:tc>
                <w:tcPr>
                  <w:tcW w:w="841" w:type="dxa"/>
                  <w:gridSpan w:val="2"/>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60</w:t>
                  </w:r>
                </w:p>
              </w:tc>
              <w:tc>
                <w:tcPr>
                  <w:tcW w:w="1051" w:type="dxa"/>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50</w:t>
                  </w:r>
                </w:p>
              </w:tc>
              <w:tc>
                <w:tcPr>
                  <w:tcW w:w="1051" w:type="dxa"/>
                  <w:gridSpan w:val="2"/>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1" w:type="dxa"/>
                <w:trHeight w:val="285" w:hRule="atLeast"/>
              </w:trPr>
              <w:tc>
                <w:tcPr>
                  <w:tcW w:w="841"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3</w:t>
                  </w:r>
                </w:p>
              </w:tc>
              <w:tc>
                <w:tcPr>
                  <w:tcW w:w="841"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35.5</w:t>
                  </w:r>
                </w:p>
              </w:tc>
              <w:tc>
                <w:tcPr>
                  <w:tcW w:w="1036"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49.3</w:t>
                  </w:r>
                </w:p>
              </w:tc>
              <w:tc>
                <w:tcPr>
                  <w:tcW w:w="859"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45.8</w:t>
                  </w:r>
                </w:p>
              </w:tc>
              <w:tc>
                <w:tcPr>
                  <w:tcW w:w="990" w:type="dxa"/>
                  <w:gridSpan w:val="2"/>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50.8</w:t>
                  </w:r>
                </w:p>
              </w:tc>
              <w:tc>
                <w:tcPr>
                  <w:tcW w:w="906"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46.19</w:t>
                  </w:r>
                </w:p>
              </w:tc>
              <w:tc>
                <w:tcPr>
                  <w:tcW w:w="841" w:type="dxa"/>
                  <w:gridSpan w:val="2"/>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60</w:t>
                  </w:r>
                </w:p>
              </w:tc>
              <w:tc>
                <w:tcPr>
                  <w:tcW w:w="1051" w:type="dxa"/>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50</w:t>
                  </w:r>
                </w:p>
              </w:tc>
              <w:tc>
                <w:tcPr>
                  <w:tcW w:w="1051" w:type="dxa"/>
                  <w:gridSpan w:val="2"/>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1" w:type="dxa"/>
                <w:trHeight w:val="285" w:hRule="atLeast"/>
              </w:trPr>
              <w:tc>
                <w:tcPr>
                  <w:tcW w:w="841" w:type="dxa"/>
                  <w:shd w:val="clear" w:color="auto" w:fill="auto"/>
                  <w:vAlign w:val="center"/>
                </w:tcPr>
                <w:p>
                  <w:pPr>
                    <w:spacing w:line="240" w:lineRule="atLeast"/>
                    <w:jc w:val="center"/>
                    <w:rPr>
                      <w:rFonts w:hint="eastAsia" w:ascii="Times New Roman" w:hAnsi="Times New Roman" w:cs="Times New Roman" w:eastAsiaTheme="minorEastAsia"/>
                      <w:sz w:val="21"/>
                      <w:szCs w:val="21"/>
                      <w:lang w:val="en-US" w:eastAsia="zh-CN"/>
                    </w:rPr>
                  </w:pPr>
                  <w:r>
                    <w:rPr>
                      <w:rFonts w:ascii="Times New Roman" w:hAnsi="Times New Roman" w:cs="Times New Roman"/>
                      <w:sz w:val="21"/>
                      <w:szCs w:val="21"/>
                    </w:rPr>
                    <w:t>N</w:t>
                  </w:r>
                  <w:r>
                    <w:rPr>
                      <w:rFonts w:hint="eastAsia" w:ascii="Times New Roman" w:hAnsi="Times New Roman" w:cs="Times New Roman"/>
                      <w:sz w:val="21"/>
                      <w:szCs w:val="21"/>
                      <w:lang w:val="en-US" w:eastAsia="zh-CN"/>
                    </w:rPr>
                    <w:t>4</w:t>
                  </w:r>
                </w:p>
              </w:tc>
              <w:tc>
                <w:tcPr>
                  <w:tcW w:w="841"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33.5</w:t>
                  </w:r>
                </w:p>
              </w:tc>
              <w:tc>
                <w:tcPr>
                  <w:tcW w:w="1036"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48.7</w:t>
                  </w:r>
                </w:p>
              </w:tc>
              <w:tc>
                <w:tcPr>
                  <w:tcW w:w="859" w:type="dxa"/>
                  <w:shd w:val="clear" w:color="auto" w:fill="auto"/>
                  <w:vAlign w:val="center"/>
                </w:tcPr>
                <w:p>
                  <w:pPr>
                    <w:jc w:val="center"/>
                    <w:rPr>
                      <w:rFonts w:hint="eastAsia"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44.8</w:t>
                  </w:r>
                </w:p>
              </w:tc>
              <w:tc>
                <w:tcPr>
                  <w:tcW w:w="990" w:type="dxa"/>
                  <w:gridSpan w:val="2"/>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48.83</w:t>
                  </w:r>
                </w:p>
              </w:tc>
              <w:tc>
                <w:tcPr>
                  <w:tcW w:w="906" w:type="dxa"/>
                  <w:shd w:val="clear" w:color="auto" w:fill="auto"/>
                  <w:vAlign w:val="center"/>
                </w:tcPr>
                <w:p>
                  <w:pPr>
                    <w:jc w:val="center"/>
                    <w:rPr>
                      <w:rFonts w:hint="default" w:ascii="Times New Roman" w:hAnsi="Times New Roman" w:eastAsia="等线" w:cs="Times New Roman"/>
                      <w:sz w:val="21"/>
                      <w:szCs w:val="21"/>
                      <w:lang w:val="en-US" w:eastAsia="zh-CN"/>
                    </w:rPr>
                  </w:pPr>
                  <w:r>
                    <w:rPr>
                      <w:rFonts w:hint="eastAsia" w:ascii="Times New Roman" w:hAnsi="Times New Roman" w:eastAsia="等线" w:cs="Times New Roman"/>
                      <w:sz w:val="21"/>
                      <w:szCs w:val="21"/>
                      <w:lang w:val="en-US" w:eastAsia="zh-CN"/>
                    </w:rPr>
                    <w:t>45.11</w:t>
                  </w:r>
                </w:p>
              </w:tc>
              <w:tc>
                <w:tcPr>
                  <w:tcW w:w="841" w:type="dxa"/>
                  <w:gridSpan w:val="2"/>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60</w:t>
                  </w:r>
                </w:p>
              </w:tc>
              <w:tc>
                <w:tcPr>
                  <w:tcW w:w="1051" w:type="dxa"/>
                  <w:shd w:val="clear" w:color="auto" w:fill="auto"/>
                  <w:vAlign w:val="center"/>
                </w:tcPr>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50</w:t>
                  </w:r>
                </w:p>
              </w:tc>
              <w:tc>
                <w:tcPr>
                  <w:tcW w:w="1051" w:type="dxa"/>
                  <w:gridSpan w:val="2"/>
                  <w:shd w:val="clear" w:color="auto" w:fill="auto"/>
                  <w:vAlign w:val="center"/>
                </w:tcPr>
                <w:p>
                  <w:pPr>
                    <w:spacing w:line="240" w:lineRule="atLeast"/>
                    <w:jc w:val="center"/>
                    <w:rPr>
                      <w:rFonts w:ascii="Times New Roman" w:hAnsi="Times New Roman" w:cs="Times New Roman"/>
                      <w:sz w:val="21"/>
                      <w:szCs w:val="21"/>
                    </w:rPr>
                  </w:pPr>
                  <w:r>
                    <w:rPr>
                      <w:rFonts w:ascii="Times New Roman" w:hAnsi="Times New Roman" w:cs="Times New Roman"/>
                      <w:sz w:val="21"/>
                      <w:szCs w:val="21"/>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由上表可知，与本底值叠加后，厂界噪声值增加值不大，</w:t>
            </w:r>
            <w:r>
              <w:rPr>
                <w:rFonts w:hint="eastAsia" w:ascii="Times New Roman" w:hAnsi="Times New Roman" w:cs="Times New Roman"/>
                <w:sz w:val="24"/>
                <w:szCs w:val="24"/>
              </w:rPr>
              <w:t>各</w:t>
            </w:r>
            <w:r>
              <w:rPr>
                <w:rFonts w:ascii="Times New Roman" w:hAnsi="Times New Roman" w:cs="Times New Roman"/>
                <w:sz w:val="24"/>
                <w:szCs w:val="24"/>
              </w:rPr>
              <w:t>厂界昼</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夜</w:t>
            </w:r>
            <w:r>
              <w:rPr>
                <w:rFonts w:ascii="Times New Roman" w:hAnsi="Times New Roman" w:cs="Times New Roman"/>
                <w:sz w:val="24"/>
                <w:szCs w:val="24"/>
              </w:rPr>
              <w:t>间噪声均能够达到《工业企业厂界环境噪声排放标准》（GB12348-2008）的2类标准，对周围环境影响较小。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Times New Roman" w:hAnsi="Times New Roman" w:cs="Times New Roman"/>
                <w:b/>
                <w:sz w:val="24"/>
                <w:szCs w:val="24"/>
              </w:rPr>
            </w:pPr>
            <w:r>
              <w:rPr>
                <w:rFonts w:ascii="Times New Roman" w:hAnsi="Times New Roman" w:cs="Times New Roman"/>
                <w:b/>
                <w:sz w:val="24"/>
                <w:szCs w:val="24"/>
              </w:rPr>
              <w:t>4、固体废物环境影响分析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本项目</w:t>
            </w:r>
            <w:r>
              <w:rPr>
                <w:rFonts w:hint="eastAsia" w:ascii="Times New Roman" w:hAnsi="Times New Roman" w:cs="Times New Roman"/>
                <w:sz w:val="24"/>
                <w:szCs w:val="24"/>
                <w:lang w:val="en-US" w:eastAsia="zh-CN"/>
              </w:rPr>
              <w:t>水膜除尘收集的粉尘</w:t>
            </w:r>
            <w:r>
              <w:rPr>
                <w:rFonts w:hint="eastAsia" w:ascii="Times New Roman" w:hAnsi="Times New Roman" w:cs="Times New Roman"/>
                <w:sz w:val="24"/>
                <w:szCs w:val="24"/>
              </w:rPr>
              <w:t>一般固废外售综合利用</w:t>
            </w: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本项目固体废物利用、处置及处理率达到100%，不直接排向外环境，一般</w:t>
            </w:r>
            <w:r>
              <w:rPr>
                <w:rFonts w:hint="eastAsia" w:ascii="Times New Roman" w:hAnsi="Times New Roman" w:cs="Times New Roman"/>
                <w:sz w:val="24"/>
                <w:szCs w:val="24"/>
                <w:lang w:val="en-US" w:eastAsia="zh-CN"/>
              </w:rPr>
              <w:t>固废堆场</w:t>
            </w:r>
            <w:r>
              <w:rPr>
                <w:rFonts w:ascii="Times New Roman" w:hAnsi="Times New Roman" w:cs="Times New Roman"/>
                <w:sz w:val="24"/>
                <w:szCs w:val="24"/>
              </w:rPr>
              <w:t>按要求建设，不会产生“二次污染”，固体废物对周围环境无直接影响。</w:t>
            </w:r>
          </w:p>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5、</w:t>
            </w:r>
            <w:r>
              <w:rPr>
                <w:rFonts w:ascii="Times New Roman" w:hAnsi="Times New Roman" w:cs="Times New Roman"/>
                <w:b/>
                <w:sz w:val="24"/>
                <w:szCs w:val="24"/>
              </w:rPr>
              <w:t>环境风险评价</w:t>
            </w:r>
          </w:p>
          <w:p>
            <w:pPr>
              <w:spacing w:line="480" w:lineRule="exact"/>
              <w:ind w:firstLine="480" w:firstLineChars="200"/>
              <w:rPr>
                <w:rFonts w:hint="eastAsia" w:ascii="Times New Roman" w:hAnsi="Times New Roman" w:cs="Times New Roman"/>
                <w:sz w:val="24"/>
                <w:szCs w:val="24"/>
                <w:lang w:val="en-US" w:eastAsia="zh-CN"/>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评价工作等级划分</w:t>
            </w:r>
          </w:p>
          <w:p>
            <w:pPr>
              <w:spacing w:line="48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根据《建设项目环境风险评价技术导则》（HJ169—2018），首先对本项目危险物质数量及临界量比值（Q）进行计算。计算所涉及的每种危险物质在厂界内的最大存在总量与其在附录中对应临界量的比值 Q 时，在不同厂区的同一种物质，按其在厂界内的最大存在总量计算。对于长输管线项目，按照两个截断阀室之间管段危险物质最大存在总量计算。 当只涉及一种危险物质时，计算该物质的总量与其临界量比值，即为 Q； </w:t>
            </w:r>
          </w:p>
          <w:p>
            <w:pPr>
              <w:spacing w:line="48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当存在多种危险物质时，则按式（C.1）计算物质总量与其临界量比值（Q）； </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Q=</w:t>
            </w:r>
            <w:r>
              <w:rPr>
                <w:rFonts w:ascii="Times New Roman" w:hAnsi="Times New Roman" w:cs="Times New Roman"/>
                <w:sz w:val="24"/>
                <w:szCs w:val="24"/>
              </w:rPr>
              <w:t>q1/Q1 + q2/Q2 + q3/Q3+…… + qn/Qn</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式中：q1，q2，……qn－每种危险物质实际存在量(吨)；</w:t>
            </w:r>
          </w:p>
          <w:p>
            <w:pPr>
              <w:spacing w:line="480" w:lineRule="exact"/>
              <w:ind w:firstLine="480" w:firstLineChars="200"/>
              <w:rPr>
                <w:rFonts w:hint="eastAsia" w:ascii="Times New Roman" w:hAnsi="Times New Roman" w:cs="Times New Roman"/>
                <w:sz w:val="24"/>
                <w:szCs w:val="24"/>
                <w:lang w:eastAsia="zh-CN"/>
              </w:rPr>
            </w:pPr>
            <w:r>
              <w:rPr>
                <w:rFonts w:ascii="Times New Roman" w:hAnsi="Times New Roman" w:cs="Times New Roman"/>
                <w:sz w:val="24"/>
                <w:szCs w:val="24"/>
              </w:rPr>
              <w:t>Q1，Q2，……Qn－与各危险物质相对应的临界量(吨)。</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 xml:space="preserve">当 Q＜1 时，该项目环境风险潜势为 I。 </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当 Q≥1，将 Q 值划分为：（1）1≤Q＜10；（2）10≤Q＜100；</w:t>
            </w:r>
          </w:p>
          <w:p>
            <w:pPr>
              <w:spacing w:line="480" w:lineRule="exact"/>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本项目涉及物料均不属于《建设项目环境风险评价技术导则》（HJ169—2018）附录 B 中所列风险物质。</w:t>
            </w:r>
          </w:p>
          <w:p>
            <w:pPr>
              <w:spacing w:line="360" w:lineRule="auto"/>
              <w:ind w:firstLine="480"/>
              <w:rPr>
                <w:rFonts w:hint="eastAsia" w:cs="Times New Roman"/>
                <w:sz w:val="24"/>
                <w:szCs w:val="24"/>
                <w:lang w:eastAsia="zh-CN"/>
              </w:rPr>
            </w:pPr>
            <w:r>
              <w:rPr>
                <w:rFonts w:hint="eastAsia" w:cs="Times New Roman"/>
                <w:sz w:val="24"/>
                <w:szCs w:val="24"/>
                <w:lang w:eastAsia="zh-CN"/>
              </w:rPr>
              <w:t>经分析可知，本项目 Q</w:t>
            </w:r>
            <w:r>
              <w:rPr>
                <w:rFonts w:hint="eastAsia" w:cs="Times New Roman"/>
                <w:sz w:val="24"/>
                <w:szCs w:val="24"/>
                <w:lang w:val="en-US" w:eastAsia="zh-CN"/>
              </w:rPr>
              <w:t>=0</w:t>
            </w:r>
            <w:r>
              <w:rPr>
                <w:rFonts w:hint="eastAsia" w:cs="Times New Roman"/>
                <w:sz w:val="24"/>
                <w:szCs w:val="24"/>
                <w:lang w:eastAsia="zh-CN"/>
              </w:rPr>
              <w:t xml:space="preserve">，环境风险势能直接判断为 I 等级，根据《建设项目环境风险评价技术导则》（HJ169—2018）相关要求，本项目评价内容进行简单分析。 </w:t>
            </w:r>
          </w:p>
          <w:p>
            <w:pPr>
              <w:spacing w:line="360" w:lineRule="auto"/>
              <w:ind w:firstLine="480"/>
              <w:rPr>
                <w:rFonts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cs="Times New Roman"/>
                <w:sz w:val="24"/>
                <w:szCs w:val="24"/>
              </w:rPr>
              <w:t>风险识别</w:t>
            </w:r>
          </w:p>
          <w:p>
            <w:pPr>
              <w:spacing w:line="360" w:lineRule="auto"/>
              <w:ind w:firstLine="480"/>
              <w:rPr>
                <w:rFonts w:cs="Times New Roman"/>
                <w:sz w:val="24"/>
                <w:szCs w:val="24"/>
              </w:rPr>
            </w:pPr>
            <w:r>
              <w:rPr>
                <w:rFonts w:eastAsia="宋体" w:cs="Times New Roman"/>
                <w:sz w:val="24"/>
                <w:szCs w:val="24"/>
              </w:rPr>
              <w:t>①</w:t>
            </w:r>
            <w:r>
              <w:rPr>
                <w:rFonts w:cs="Times New Roman"/>
                <w:sz w:val="24"/>
                <w:szCs w:val="24"/>
              </w:rPr>
              <w:t>生产过程中可能存在的危险</w:t>
            </w:r>
          </w:p>
          <w:p>
            <w:pPr>
              <w:spacing w:line="360" w:lineRule="auto"/>
              <w:ind w:firstLine="480"/>
              <w:rPr>
                <w:rFonts w:cs="Times New Roman"/>
                <w:sz w:val="24"/>
                <w:szCs w:val="24"/>
              </w:rPr>
            </w:pPr>
            <w:r>
              <w:rPr>
                <w:rFonts w:cs="Times New Roman"/>
                <w:sz w:val="24"/>
                <w:szCs w:val="24"/>
              </w:rPr>
              <w:t>本项目</w:t>
            </w:r>
            <w:r>
              <w:rPr>
                <w:rFonts w:hint="eastAsia" w:cs="Times New Roman"/>
                <w:sz w:val="24"/>
                <w:szCs w:val="24"/>
                <w:lang w:val="en-US" w:eastAsia="zh-CN"/>
              </w:rPr>
              <w:t>产品生物质压力块和</w:t>
            </w:r>
            <w:r>
              <w:rPr>
                <w:rFonts w:cs="Times New Roman"/>
                <w:sz w:val="24"/>
                <w:szCs w:val="24"/>
              </w:rPr>
              <w:t>生产过程中使用</w:t>
            </w:r>
            <w:r>
              <w:rPr>
                <w:rFonts w:hint="eastAsia" w:cs="Times New Roman"/>
                <w:sz w:val="24"/>
                <w:szCs w:val="24"/>
                <w:lang w:eastAsia="zh-CN"/>
              </w:rPr>
              <w:t>的</w:t>
            </w:r>
            <w:r>
              <w:rPr>
                <w:rFonts w:hint="eastAsia" w:ascii="Times New Roman" w:hAnsi="Times New Roman" w:cs="Times New Roman"/>
                <w:sz w:val="24"/>
                <w:szCs w:val="24"/>
                <w:lang w:val="en-US" w:eastAsia="zh-CN"/>
              </w:rPr>
              <w:t>木屑、刨花</w:t>
            </w:r>
            <w:r>
              <w:rPr>
                <w:rFonts w:cs="Times New Roman"/>
                <w:sz w:val="24"/>
                <w:szCs w:val="24"/>
              </w:rPr>
              <w:t>，如遇火源可能引起火灾事故</w:t>
            </w:r>
            <w:r>
              <w:rPr>
                <w:rFonts w:hint="eastAsia" w:cs="Times New Roman"/>
                <w:sz w:val="24"/>
                <w:szCs w:val="24"/>
                <w:lang w:eastAsia="zh-CN"/>
              </w:rPr>
              <w:t>，</w:t>
            </w:r>
            <w:r>
              <w:rPr>
                <w:rFonts w:hint="eastAsia" w:cs="Times New Roman"/>
                <w:sz w:val="24"/>
                <w:szCs w:val="24"/>
                <w:lang w:val="en-US" w:eastAsia="zh-CN"/>
              </w:rPr>
              <w:t>对大气环境造成影响</w:t>
            </w:r>
            <w:r>
              <w:rPr>
                <w:rFonts w:cs="Times New Roman"/>
                <w:sz w:val="24"/>
                <w:szCs w:val="24"/>
              </w:rPr>
              <w:t>。</w:t>
            </w:r>
          </w:p>
          <w:p>
            <w:pPr>
              <w:spacing w:line="360" w:lineRule="auto"/>
              <w:ind w:firstLine="480"/>
              <w:rPr>
                <w:rFonts w:cs="Times New Roman"/>
                <w:sz w:val="24"/>
                <w:szCs w:val="24"/>
              </w:rPr>
            </w:pPr>
            <w:r>
              <w:rPr>
                <w:rFonts w:eastAsia="宋体" w:cs="Times New Roman"/>
                <w:sz w:val="24"/>
                <w:szCs w:val="24"/>
              </w:rPr>
              <w:t>②</w:t>
            </w:r>
            <w:r>
              <w:rPr>
                <w:rFonts w:cs="Times New Roman"/>
                <w:sz w:val="24"/>
                <w:szCs w:val="24"/>
              </w:rPr>
              <w:t>公用工程、贮运工程及环保工程可能存在的危险</w:t>
            </w:r>
          </w:p>
          <w:p>
            <w:pPr>
              <w:spacing w:line="360" w:lineRule="auto"/>
              <w:ind w:firstLine="480"/>
              <w:rPr>
                <w:rFonts w:cs="Times New Roman"/>
                <w:sz w:val="24"/>
                <w:szCs w:val="24"/>
              </w:rPr>
            </w:pPr>
            <w:r>
              <w:rPr>
                <w:rFonts w:cs="Times New Roman"/>
                <w:sz w:val="24"/>
                <w:szCs w:val="24"/>
              </w:rPr>
              <w:t>配电间存在触电的危险、短路造成的火灾危险。</w:t>
            </w:r>
          </w:p>
          <w:p>
            <w:pPr>
              <w:spacing w:line="360" w:lineRule="auto"/>
              <w:ind w:firstLine="480"/>
              <w:rPr>
                <w:rFonts w:cs="Times New Roman"/>
                <w:sz w:val="24"/>
                <w:szCs w:val="24"/>
              </w:rPr>
            </w:pPr>
            <w:r>
              <w:rPr>
                <w:rFonts w:cs="Times New Roman"/>
                <w:sz w:val="24"/>
                <w:szCs w:val="24"/>
              </w:rPr>
              <w:t>（2）火灾次生环境污染分析</w:t>
            </w:r>
          </w:p>
          <w:p>
            <w:pPr>
              <w:spacing w:line="360" w:lineRule="auto"/>
              <w:ind w:firstLine="480"/>
              <w:rPr>
                <w:rFonts w:cs="Times New Roman"/>
                <w:sz w:val="24"/>
                <w:szCs w:val="24"/>
              </w:rPr>
            </w:pPr>
            <w:r>
              <w:rPr>
                <w:rFonts w:cs="Times New Roman"/>
                <w:sz w:val="24"/>
                <w:szCs w:val="24"/>
              </w:rPr>
              <w:t>本项目最危险的次生/伴生污染事故为发生火灾后，</w:t>
            </w:r>
            <w:r>
              <w:rPr>
                <w:rFonts w:hint="eastAsia" w:cs="Times New Roman"/>
                <w:sz w:val="24"/>
                <w:szCs w:val="24"/>
                <w:lang w:val="en-US" w:eastAsia="zh-CN"/>
              </w:rPr>
              <w:t>生物质压力块和</w:t>
            </w:r>
            <w:r>
              <w:rPr>
                <w:rFonts w:hint="eastAsia" w:ascii="Times New Roman" w:hAnsi="Times New Roman" w:cs="Times New Roman"/>
                <w:sz w:val="24"/>
                <w:szCs w:val="24"/>
                <w:lang w:val="en-US" w:eastAsia="zh-CN"/>
              </w:rPr>
              <w:t>木屑、刨花</w:t>
            </w:r>
            <w:r>
              <w:rPr>
                <w:rFonts w:cs="Times New Roman"/>
                <w:sz w:val="24"/>
                <w:szCs w:val="24"/>
              </w:rPr>
              <w:t>会产生伴生和次生危害。</w:t>
            </w:r>
          </w:p>
          <w:p>
            <w:pPr>
              <w:spacing w:line="360" w:lineRule="auto"/>
              <w:ind w:firstLine="480"/>
              <w:rPr>
                <w:rFonts w:cs="Times New Roman"/>
                <w:sz w:val="24"/>
                <w:szCs w:val="24"/>
              </w:rPr>
            </w:pPr>
            <w:r>
              <w:rPr>
                <w:rFonts w:cs="Times New Roman"/>
                <w:sz w:val="24"/>
                <w:szCs w:val="24"/>
              </w:rPr>
              <w:t>污染物浓度范围在几十至几百之间，短时间内对下风向的环境空气质量有一定的影响，长期影响较小。需根据现场事故状况采用合适的灭火方式，防止并减轻伴生次生危害的产生，尽量消除因火灾等而引起的环境污染事故。</w:t>
            </w:r>
          </w:p>
          <w:p>
            <w:pPr>
              <w:spacing w:line="360" w:lineRule="auto"/>
              <w:ind w:firstLine="480"/>
              <w:rPr>
                <w:rFonts w:cs="Times New Roman"/>
                <w:sz w:val="24"/>
                <w:szCs w:val="24"/>
              </w:rPr>
            </w:pPr>
            <w:r>
              <w:rPr>
                <w:rFonts w:cs="Times New Roman"/>
                <w:sz w:val="24"/>
                <w:szCs w:val="24"/>
              </w:rPr>
              <w:t>（3）风险防范措施</w:t>
            </w:r>
          </w:p>
          <w:p>
            <w:pPr>
              <w:spacing w:line="360" w:lineRule="auto"/>
              <w:ind w:firstLine="480"/>
              <w:rPr>
                <w:rFonts w:cs="Times New Roman"/>
                <w:sz w:val="24"/>
                <w:szCs w:val="24"/>
              </w:rPr>
            </w:pPr>
            <w:r>
              <w:rPr>
                <w:rFonts w:eastAsia="宋体" w:cs="Times New Roman"/>
                <w:sz w:val="24"/>
                <w:szCs w:val="24"/>
              </w:rPr>
              <w:t>①</w:t>
            </w:r>
            <w:r>
              <w:rPr>
                <w:rFonts w:cs="Times New Roman"/>
                <w:sz w:val="24"/>
                <w:szCs w:val="24"/>
              </w:rPr>
              <w:t>建构筑物防火、防爆措施</w:t>
            </w:r>
          </w:p>
          <w:p>
            <w:pPr>
              <w:spacing w:line="360" w:lineRule="auto"/>
              <w:ind w:firstLine="480"/>
              <w:rPr>
                <w:rFonts w:cs="Times New Roman"/>
                <w:sz w:val="24"/>
                <w:szCs w:val="24"/>
              </w:rPr>
            </w:pPr>
            <w:r>
              <w:rPr>
                <w:rFonts w:cs="Times New Roman"/>
                <w:sz w:val="24"/>
                <w:szCs w:val="24"/>
              </w:rPr>
              <w:t>对所有建筑物的防火要求，包括材料的选用、布置、构造、疏散等均按《建筑设计防火规范》、《建筑内部装修设计的防火规范》、《建筑灭火器配置设计规范》等要求进行设计与施工。</w:t>
            </w:r>
          </w:p>
          <w:p>
            <w:pPr>
              <w:spacing w:line="360" w:lineRule="auto"/>
              <w:ind w:firstLine="480"/>
              <w:rPr>
                <w:rFonts w:cs="Times New Roman"/>
                <w:sz w:val="24"/>
                <w:szCs w:val="24"/>
              </w:rPr>
            </w:pPr>
            <w:r>
              <w:rPr>
                <w:rFonts w:eastAsia="宋体" w:cs="Times New Roman"/>
                <w:sz w:val="24"/>
                <w:szCs w:val="24"/>
              </w:rPr>
              <w:t>②</w:t>
            </w:r>
            <w:r>
              <w:rPr>
                <w:rFonts w:cs="Times New Roman"/>
                <w:sz w:val="24"/>
                <w:szCs w:val="24"/>
              </w:rPr>
              <w:t>消防事故防范措施</w:t>
            </w:r>
          </w:p>
          <w:p>
            <w:pPr>
              <w:spacing w:line="360" w:lineRule="auto"/>
              <w:ind w:firstLine="480"/>
              <w:rPr>
                <w:rFonts w:cs="Times New Roman"/>
                <w:sz w:val="24"/>
                <w:szCs w:val="24"/>
              </w:rPr>
            </w:pPr>
            <w:r>
              <w:rPr>
                <w:rFonts w:cs="Times New Roman"/>
                <w:sz w:val="24"/>
                <w:szCs w:val="24"/>
              </w:rPr>
              <w:t>a、企业应建立严格的消防管理制度，在厂区内设置灭火器材，如手提式或推车式干粉灭火器；</w:t>
            </w:r>
          </w:p>
          <w:p>
            <w:pPr>
              <w:spacing w:line="360" w:lineRule="auto"/>
              <w:ind w:firstLine="480"/>
              <w:rPr>
                <w:rFonts w:cs="Times New Roman"/>
                <w:sz w:val="24"/>
                <w:szCs w:val="24"/>
              </w:rPr>
            </w:pPr>
            <w:r>
              <w:rPr>
                <w:rFonts w:cs="Times New Roman"/>
                <w:sz w:val="24"/>
                <w:szCs w:val="24"/>
              </w:rPr>
              <w:t>b、厂房室外设置地上式消火栓，厂房四周的消火栓间距不大于60米，车间及仓库设置室内消火栓；</w:t>
            </w:r>
          </w:p>
          <w:p>
            <w:pPr>
              <w:spacing w:line="360" w:lineRule="auto"/>
              <w:ind w:firstLine="480"/>
              <w:rPr>
                <w:rFonts w:cs="Times New Roman"/>
                <w:sz w:val="24"/>
                <w:szCs w:val="24"/>
              </w:rPr>
            </w:pPr>
            <w:r>
              <w:rPr>
                <w:rFonts w:cs="Times New Roman"/>
                <w:sz w:val="24"/>
                <w:szCs w:val="24"/>
              </w:rPr>
              <w:t>c、雨污排口设置截流阀。</w:t>
            </w:r>
          </w:p>
          <w:p>
            <w:pPr>
              <w:spacing w:line="360" w:lineRule="auto"/>
              <w:ind w:firstLine="480"/>
              <w:rPr>
                <w:rFonts w:cs="Times New Roman"/>
                <w:sz w:val="24"/>
                <w:szCs w:val="24"/>
              </w:rPr>
            </w:pPr>
            <w:r>
              <w:rPr>
                <w:rFonts w:cs="Times New Roman"/>
                <w:sz w:val="24"/>
                <w:szCs w:val="24"/>
              </w:rPr>
              <w:t>（4）建立健全安全环境管理制度</w:t>
            </w:r>
          </w:p>
          <w:p>
            <w:pPr>
              <w:spacing w:line="360" w:lineRule="auto"/>
              <w:ind w:firstLine="480"/>
              <w:rPr>
                <w:rFonts w:cs="Times New Roman"/>
                <w:sz w:val="24"/>
                <w:szCs w:val="24"/>
              </w:rPr>
            </w:pPr>
            <w:r>
              <w:rPr>
                <w:rFonts w:hint="eastAsia" w:eastAsia="宋体" w:cs="Times New Roman"/>
                <w:sz w:val="24"/>
                <w:szCs w:val="24"/>
                <w:lang w:val="en-US" w:eastAsia="zh-CN"/>
              </w:rPr>
              <w:t>①</w:t>
            </w:r>
            <w:r>
              <w:rPr>
                <w:rFonts w:cs="Times New Roman"/>
                <w:sz w:val="24"/>
                <w:szCs w:val="24"/>
              </w:rPr>
              <w:t>公司应建立健全的健康/安全/环境管理制度，并严格予以执行。</w:t>
            </w:r>
          </w:p>
          <w:p>
            <w:pPr>
              <w:spacing w:line="360" w:lineRule="auto"/>
              <w:ind w:firstLine="480"/>
              <w:rPr>
                <w:rFonts w:cs="Times New Roman"/>
                <w:sz w:val="24"/>
                <w:szCs w:val="24"/>
              </w:rPr>
            </w:pPr>
            <w:r>
              <w:rPr>
                <w:rFonts w:hint="eastAsia" w:eastAsia="宋体" w:cs="Times New Roman"/>
                <w:sz w:val="24"/>
                <w:szCs w:val="24"/>
                <w:lang w:val="en-US" w:eastAsia="zh-CN"/>
              </w:rPr>
              <w:t>②</w:t>
            </w:r>
            <w:r>
              <w:rPr>
                <w:rFonts w:cs="Times New Roman"/>
                <w:sz w:val="24"/>
                <w:szCs w:val="24"/>
              </w:rPr>
              <w:t>严格执行我国有关的劳动安全、环境保护、工业卫生的规范和标准，最低限度的清除事故隐患，一旦发生事故应采取有效措施，降低因事故引起的损失和对环境的污染。</w:t>
            </w:r>
          </w:p>
          <w:p>
            <w:pPr>
              <w:spacing w:line="360" w:lineRule="auto"/>
              <w:ind w:firstLine="480"/>
              <w:rPr>
                <w:rFonts w:cs="Times New Roman"/>
                <w:sz w:val="24"/>
                <w:szCs w:val="24"/>
              </w:rPr>
            </w:pPr>
            <w:r>
              <w:rPr>
                <w:rFonts w:hint="eastAsia" w:eastAsia="宋体" w:cs="Times New Roman"/>
                <w:sz w:val="24"/>
                <w:szCs w:val="24"/>
                <w:lang w:val="en-US" w:eastAsia="zh-CN"/>
              </w:rPr>
              <w:t>③</w:t>
            </w:r>
            <w:r>
              <w:rPr>
                <w:rFonts w:cs="Times New Roman"/>
                <w:sz w:val="24"/>
                <w:szCs w:val="24"/>
              </w:rPr>
              <w:t>加强工厂、车间的安全环保管理，对全厂职工进行安全环保的教育和培训，实行上岗证制度。</w:t>
            </w:r>
          </w:p>
          <w:p>
            <w:pPr>
              <w:spacing w:line="360" w:lineRule="auto"/>
              <w:ind w:firstLine="480"/>
              <w:rPr>
                <w:rFonts w:cs="Times New Roman"/>
                <w:sz w:val="24"/>
                <w:szCs w:val="24"/>
              </w:rPr>
            </w:pPr>
            <w:r>
              <w:rPr>
                <w:rFonts w:hint="eastAsia" w:eastAsia="宋体" w:cs="Times New Roman"/>
                <w:sz w:val="24"/>
                <w:szCs w:val="24"/>
                <w:lang w:val="en-US" w:eastAsia="zh-CN"/>
              </w:rPr>
              <w:t>④</w:t>
            </w:r>
            <w:r>
              <w:rPr>
                <w:rFonts w:cs="Times New Roman"/>
                <w:sz w:val="24"/>
                <w:szCs w:val="24"/>
              </w:rPr>
              <w:t>定期检查生产和原料贮存区，杜绝事故隐患，降低事故发生概率。</w:t>
            </w:r>
          </w:p>
          <w:p>
            <w:pPr>
              <w:spacing w:line="360" w:lineRule="auto"/>
              <w:ind w:firstLine="480"/>
              <w:rPr>
                <w:rFonts w:cs="Times New Roman"/>
                <w:sz w:val="24"/>
                <w:szCs w:val="24"/>
              </w:rPr>
            </w:pPr>
            <w:r>
              <w:rPr>
                <w:rFonts w:hint="eastAsia" w:cs="Times New Roman"/>
                <w:sz w:val="24"/>
                <w:szCs w:val="24"/>
                <w:lang w:val="en-US" w:eastAsia="zh-CN"/>
              </w:rPr>
              <w:t>⑤</w:t>
            </w:r>
            <w:r>
              <w:rPr>
                <w:rFonts w:cs="Times New Roman"/>
                <w:sz w:val="24"/>
                <w:szCs w:val="24"/>
              </w:rPr>
              <w:t>配备24小时有效的报警装置；</w:t>
            </w:r>
          </w:p>
          <w:p>
            <w:pPr>
              <w:spacing w:line="360" w:lineRule="auto"/>
              <w:ind w:firstLine="480"/>
              <w:rPr>
                <w:rFonts w:cs="Times New Roman"/>
                <w:sz w:val="24"/>
                <w:szCs w:val="24"/>
              </w:rPr>
            </w:pPr>
            <w:r>
              <w:rPr>
                <w:rFonts w:hint="eastAsia" w:eastAsia="宋体" w:cs="Times New Roman"/>
                <w:sz w:val="24"/>
                <w:szCs w:val="24"/>
                <w:lang w:val="en-US" w:eastAsia="zh-CN"/>
              </w:rPr>
              <w:t>⑥</w:t>
            </w:r>
            <w:r>
              <w:rPr>
                <w:rFonts w:cs="Times New Roman"/>
                <w:sz w:val="24"/>
                <w:szCs w:val="24"/>
              </w:rPr>
              <w:t>应明确24小时有效的内部、外部通讯联络手段。</w:t>
            </w:r>
          </w:p>
          <w:p>
            <w:pPr>
              <w:pStyle w:val="17"/>
              <w:spacing w:line="360" w:lineRule="auto"/>
              <w:ind w:firstLine="480" w:firstLineChars="200"/>
              <w:rPr>
                <w:rFonts w:hint="eastAsia" w:ascii="Times New Roman" w:hAnsi="Times New Roman" w:cs="Times New Roman"/>
                <w:color w:val="auto"/>
              </w:rPr>
            </w:pPr>
            <w:r>
              <w:rPr>
                <w:rFonts w:hint="eastAsia" w:ascii="Times New Roman" w:hAnsi="Times New Roman" w:cs="Times New Roman"/>
                <w:color w:val="auto"/>
                <w:sz w:val="24"/>
                <w:szCs w:val="24"/>
              </w:rPr>
              <w:t>上述措施可满足本项目风险防范及应急需求且具有可行性。在采取规范化环境风险防范措施和应急措施的前提下，本项目环境风险可控。</w:t>
            </w:r>
          </w:p>
          <w:p>
            <w:pPr>
              <w:pStyle w:val="17"/>
              <w:spacing w:line="360" w:lineRule="auto"/>
              <w:jc w:val="center"/>
              <w:rPr>
                <w:rFonts w:hint="eastAsia" w:ascii="Times New Roman" w:hAnsi="Times New Roman" w:cs="Times New Roman"/>
                <w:b/>
                <w:bCs/>
                <w:color w:val="auto"/>
                <w:lang w:val="en-US" w:eastAsia="zh-CN"/>
              </w:rPr>
            </w:pPr>
          </w:p>
          <w:p>
            <w:pPr>
              <w:pStyle w:val="17"/>
              <w:spacing w:line="360" w:lineRule="auto"/>
              <w:jc w:val="center"/>
              <w:rPr>
                <w:rFonts w:hint="eastAsia" w:ascii="Times New Roman" w:hAnsi="Times New Roman" w:cs="Times New Roman"/>
                <w:b/>
                <w:bCs/>
                <w:color w:val="auto"/>
                <w:lang w:val="en-US" w:eastAsia="zh-CN"/>
              </w:rPr>
            </w:pPr>
          </w:p>
          <w:p>
            <w:pPr>
              <w:pStyle w:val="17"/>
              <w:spacing w:line="360" w:lineRule="auto"/>
              <w:jc w:val="center"/>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表7-8 本项目环境风险简单分析内容表</w:t>
            </w:r>
          </w:p>
          <w:tbl>
            <w:tblPr>
              <w:tblStyle w:val="16"/>
              <w:tblW w:w="8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221"/>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建设项目名称</w:t>
                  </w:r>
                </w:p>
              </w:tc>
              <w:tc>
                <w:tcPr>
                  <w:tcW w:w="6626" w:type="dxa"/>
                  <w:gridSpan w:val="5"/>
                </w:tcPr>
                <w:p>
                  <w:pPr>
                    <w:pStyle w:val="17"/>
                    <w:spacing w:line="360" w:lineRule="auto"/>
                    <w:rPr>
                      <w:rFonts w:hint="eastAsia" w:ascii="Times New Roman" w:hAnsi="Times New Roman" w:eastAsia="宋体" w:cs="Times New Roman"/>
                      <w:color w:val="auto"/>
                      <w:sz w:val="21"/>
                      <w:szCs w:val="21"/>
                      <w:vertAlign w:val="baseline"/>
                      <w:lang w:val="en-US" w:eastAsia="zh-CN"/>
                    </w:rPr>
                  </w:pPr>
                  <w:r>
                    <w:rPr>
                      <w:rFonts w:hint="eastAsia" w:eastAsia="宋体" w:cs="Times New Roman"/>
                      <w:sz w:val="21"/>
                      <w:szCs w:val="21"/>
                    </w:rPr>
                    <w:t>常州市燕青生物质能源有限公司</w:t>
                  </w:r>
                  <w:r>
                    <w:rPr>
                      <w:rFonts w:hint="eastAsia" w:cs="Times New Roman"/>
                      <w:sz w:val="21"/>
                      <w:szCs w:val="21"/>
                      <w:lang w:eastAsia="zh-CN"/>
                    </w:rPr>
                    <w:t>生物质压力块项目（年产3万吨生物质压力块）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建设地点</w:t>
                  </w:r>
                </w:p>
              </w:tc>
              <w:tc>
                <w:tcPr>
                  <w:tcW w:w="122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（江苏）省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 xml:space="preserve">（常州）市 </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（武进）区</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嘉泽</w:t>
                  </w:r>
                  <w:r>
                    <w:rPr>
                      <w:rFonts w:hint="default" w:ascii="Times New Roman" w:hAnsi="Times New Roman" w:cs="Times New Roman"/>
                      <w:color w:val="auto"/>
                      <w:sz w:val="21"/>
                      <w:szCs w:val="21"/>
                      <w:vertAlign w:val="baseline"/>
                      <w:lang w:val="en-US" w:eastAsia="zh-CN"/>
                    </w:rPr>
                    <w:t xml:space="preserve">）镇 </w:t>
                  </w:r>
                </w:p>
                <w:p>
                  <w:pPr>
                    <w:pStyle w:val="17"/>
                    <w:spacing w:line="360" w:lineRule="auto"/>
                    <w:rPr>
                      <w:rFonts w:hint="default" w:ascii="Times New Roman" w:hAnsi="Times New Roman" w:cs="Times New Roman"/>
                      <w:color w:val="auto"/>
                      <w:sz w:val="21"/>
                      <w:szCs w:val="21"/>
                      <w:vertAlign w:val="baseline"/>
                      <w:lang w:val="en-US" w:eastAsia="zh-CN"/>
                    </w:rPr>
                  </w:pPr>
                </w:p>
              </w:tc>
              <w:tc>
                <w:tcPr>
                  <w:tcW w:w="1352"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w:t>
                  </w:r>
                  <w:r>
                    <w:rPr>
                      <w:rFonts w:hint="default" w:ascii="Times New Roman" w:hAnsi="Times New Roman" w:cs="Times New Roman"/>
                      <w:color w:val="auto"/>
                      <w:sz w:val="21"/>
                      <w:szCs w:val="21"/>
                      <w:vertAlign w:val="baseline"/>
                      <w:lang w:val="en-US" w:eastAsia="zh-CN"/>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地理坐标</w:t>
                  </w:r>
                </w:p>
              </w:tc>
              <w:tc>
                <w:tcPr>
                  <w:tcW w:w="122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经度</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119.784279</w:t>
                  </w:r>
                </w:p>
              </w:tc>
              <w:tc>
                <w:tcPr>
                  <w:tcW w:w="1351" w:type="dxa"/>
                </w:tcPr>
                <w:p>
                  <w:pPr>
                    <w:pStyle w:val="17"/>
                    <w:spacing w:line="360" w:lineRule="auto"/>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纬度</w:t>
                  </w:r>
                </w:p>
              </w:tc>
              <w:tc>
                <w:tcPr>
                  <w:tcW w:w="2703" w:type="dxa"/>
                  <w:gridSpan w:val="2"/>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31.7</w:t>
                  </w:r>
                  <w:r>
                    <w:rPr>
                      <w:rFonts w:hint="eastAsia" w:ascii="Times New Roman" w:hAnsi="Times New Roman" w:cs="Times New Roman"/>
                      <w:color w:val="auto"/>
                      <w:sz w:val="21"/>
                      <w:szCs w:val="21"/>
                      <w:vertAlign w:val="baseline"/>
                      <w:lang w:val="en-US" w:eastAsia="zh-CN"/>
                    </w:rPr>
                    <w:t>23516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主要危险物质及分布</w:t>
                  </w:r>
                </w:p>
              </w:tc>
              <w:tc>
                <w:tcPr>
                  <w:tcW w:w="6626" w:type="dxa"/>
                  <w:gridSpan w:val="5"/>
                </w:tcPr>
                <w:p>
                  <w:pPr>
                    <w:pStyle w:val="17"/>
                    <w:spacing w:line="360" w:lineRule="auto"/>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主要危险物质：生物质压力块和木屑、刨花</w:t>
                  </w:r>
                </w:p>
                <w:p>
                  <w:pPr>
                    <w:pStyle w:val="17"/>
                    <w:spacing w:line="360" w:lineRule="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分布情况：原料堆放区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环境影响途径 及危害后果（大气、地表水、地下水等</w:t>
                  </w:r>
                </w:p>
              </w:tc>
              <w:tc>
                <w:tcPr>
                  <w:tcW w:w="662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本项目产品生物质压力块和生产过程中使用的木屑、刨花，如遇火源可能引起火灾事故，对大气环境造成影响。</w:t>
                  </w:r>
                </w:p>
                <w:p>
                  <w:pPr>
                    <w:pStyle w:val="17"/>
                    <w:spacing w:line="360" w:lineRule="auto"/>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pStyle w:val="17"/>
                    <w:spacing w:line="360" w:lineRule="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风险防范措施要求</w:t>
                  </w:r>
                </w:p>
              </w:tc>
              <w:tc>
                <w:tcPr>
                  <w:tcW w:w="6626" w:type="dxa"/>
                  <w:gridSpan w:val="5"/>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设置专人定期检查原料堆放区内的暂存情况；定期检查厂内各风险防范措施的完善情况，设置应急物资，建立健全应急防范机制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7" w:type="dxa"/>
                  <w:gridSpan w:val="6"/>
                </w:tcPr>
                <w:p>
                  <w:pPr>
                    <w:pStyle w:val="17"/>
                    <w:spacing w:line="360" w:lineRule="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填表说明（列出项目相关信息及评价说明）：本项目Q</w:t>
                  </w:r>
                  <w:r>
                    <w:rPr>
                      <w:rFonts w:hint="eastAsia" w:ascii="Times New Roman" w:hAnsi="Times New Roman" w:cs="Times New Roman"/>
                      <w:color w:val="auto"/>
                      <w:sz w:val="21"/>
                      <w:szCs w:val="21"/>
                      <w:vertAlign w:val="baseline"/>
                      <w:lang w:val="en-US" w:eastAsia="zh-CN"/>
                    </w:rPr>
                    <w:t>=0</w:t>
                  </w:r>
                  <w:r>
                    <w:rPr>
                      <w:rFonts w:hint="default" w:ascii="Times New Roman" w:hAnsi="Times New Roman" w:cs="Times New Roman"/>
                      <w:color w:val="auto"/>
                      <w:sz w:val="21"/>
                      <w:szCs w:val="21"/>
                      <w:vertAlign w:val="baseline"/>
                      <w:lang w:val="en-US" w:eastAsia="zh-CN"/>
                    </w:rPr>
                    <w:t>，环境风险势能直接判断为I等级</w:t>
                  </w:r>
                </w:p>
              </w:tc>
            </w:tr>
          </w:tbl>
          <w:p>
            <w:pPr>
              <w:spacing w:line="480" w:lineRule="exact"/>
              <w:ind w:firstLine="480"/>
              <w:rPr>
                <w:rFonts w:ascii="Times New Roman" w:hAnsi="Times New Roman" w:cs="Times New Roman"/>
                <w:b/>
                <w:sz w:val="24"/>
                <w:szCs w:val="24"/>
              </w:rPr>
            </w:pPr>
            <w:r>
              <w:rPr>
                <w:rFonts w:ascii="Times New Roman" w:hAnsi="Times New Roman" w:cs="Times New Roman"/>
                <w:b/>
                <w:sz w:val="24"/>
                <w:szCs w:val="24"/>
              </w:rPr>
              <w:t>6、环境管理</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（1）环境管理机构</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建设项目应加强已构建的企业内部环境管理机构，对建设项目应配备专职环保人员1名，负责建设项目的环境保护监督管理工作。</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（2）污染治理设施的管理、监控制度</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建设项目必须确保污染治理设施长期、稳定、有效地运行，不得擅自拆除或者闲置污染治理设施，不得故意不正常使用污染治理设施。污染治理设施的管理必须与生产经营活动一起纳入公司日常管理工作的范畴，落实责任人、操作人员、维修人员、运行经费、设备的备品备件及其它原辅材料。同时要建立岗位责任制、制定操作规程、建立管理台帐。</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在污染治理设施的管理、监控制度上主要应做好以下几点：</w:t>
            </w:r>
          </w:p>
          <w:p>
            <w:pPr>
              <w:spacing w:line="360" w:lineRule="auto"/>
              <w:ind w:firstLine="480" w:firstLineChars="200"/>
              <w:rPr>
                <w:rFonts w:ascii="Times New Roman" w:hAnsi="Times New Roman" w:cs="Times New Roman"/>
                <w:bCs/>
                <w:sz w:val="24"/>
                <w:szCs w:val="24"/>
              </w:rPr>
            </w:pPr>
            <w:r>
              <w:rPr>
                <w:rFonts w:hint="eastAsia"/>
                <w:bCs/>
                <w:sz w:val="24"/>
                <w:szCs w:val="24"/>
              </w:rPr>
              <w:t>①</w:t>
            </w:r>
            <w:r>
              <w:rPr>
                <w:rFonts w:ascii="Times New Roman" w:hAnsi="Times New Roman" w:cs="Times New Roman"/>
                <w:bCs/>
                <w:sz w:val="24"/>
                <w:szCs w:val="24"/>
              </w:rPr>
              <w:t>认真贯彻执行国家有关环境保护法律、法规及相关文件，接受环境保护主管部门的监督和检查，定期上报各项环保管理工作的执行情况。</w:t>
            </w:r>
          </w:p>
          <w:p>
            <w:pPr>
              <w:spacing w:line="360" w:lineRule="auto"/>
              <w:ind w:firstLine="480" w:firstLineChars="200"/>
              <w:rPr>
                <w:rFonts w:ascii="Times New Roman" w:hAnsi="Times New Roman" w:cs="Times New Roman"/>
                <w:bCs/>
                <w:sz w:val="24"/>
                <w:szCs w:val="24"/>
              </w:rPr>
            </w:pPr>
            <w:r>
              <w:rPr>
                <w:rFonts w:hint="eastAsia"/>
                <w:bCs/>
                <w:sz w:val="24"/>
                <w:szCs w:val="24"/>
              </w:rPr>
              <w:t>②</w:t>
            </w:r>
            <w:r>
              <w:rPr>
                <w:rFonts w:ascii="Times New Roman" w:hAnsi="Times New Roman" w:cs="Times New Roman"/>
                <w:bCs/>
                <w:sz w:val="24"/>
                <w:szCs w:val="24"/>
              </w:rPr>
              <w:t>组织制定公司内部的环保管理规章制度，明确职责，并监督执行。</w:t>
            </w:r>
          </w:p>
          <w:p>
            <w:pPr>
              <w:spacing w:line="360" w:lineRule="auto"/>
              <w:ind w:firstLine="480" w:firstLineChars="200"/>
              <w:rPr>
                <w:rFonts w:ascii="Times New Roman" w:hAnsi="Times New Roman" w:cs="Times New Roman"/>
                <w:bCs/>
                <w:sz w:val="24"/>
                <w:szCs w:val="24"/>
              </w:rPr>
            </w:pPr>
            <w:r>
              <w:rPr>
                <w:rFonts w:hint="eastAsia"/>
                <w:bCs/>
                <w:sz w:val="24"/>
                <w:szCs w:val="24"/>
              </w:rPr>
              <w:t>③</w:t>
            </w:r>
            <w:r>
              <w:rPr>
                <w:rFonts w:ascii="Times New Roman" w:hAnsi="Times New Roman" w:cs="Times New Roman"/>
                <w:bCs/>
                <w:sz w:val="24"/>
                <w:szCs w:val="24"/>
              </w:rPr>
              <w:t>建立环境保护责任制度，采取有效措施，防治生产过程中或其他活动中产生的污染危害及对生态环境的破坏。</w:t>
            </w:r>
          </w:p>
          <w:p>
            <w:pPr>
              <w:spacing w:line="360" w:lineRule="auto"/>
              <w:ind w:firstLine="480" w:firstLineChars="200"/>
              <w:rPr>
                <w:rFonts w:ascii="Times New Roman" w:hAnsi="Times New Roman" w:cs="Times New Roman"/>
                <w:bCs/>
                <w:sz w:val="24"/>
                <w:szCs w:val="24"/>
              </w:rPr>
            </w:pPr>
            <w:r>
              <w:rPr>
                <w:rFonts w:hint="eastAsia"/>
                <w:bCs/>
                <w:sz w:val="24"/>
                <w:szCs w:val="24"/>
              </w:rPr>
              <w:t>④</w:t>
            </w:r>
            <w:r>
              <w:rPr>
                <w:rFonts w:ascii="Times New Roman" w:hAnsi="Times New Roman" w:cs="Times New Roman"/>
                <w:bCs/>
                <w:sz w:val="24"/>
                <w:szCs w:val="24"/>
              </w:rPr>
              <w:t>设专职环保人员，认真做好污染源及处理设施的监测、控制工作，及时解决运行中的环保问题，参与环境污染事故调查和处理工作。</w:t>
            </w:r>
          </w:p>
          <w:p>
            <w:pPr>
              <w:spacing w:line="360" w:lineRule="auto"/>
              <w:ind w:firstLine="480" w:firstLineChars="200"/>
              <w:rPr>
                <w:rFonts w:ascii="Times New Roman" w:hAnsi="Times New Roman" w:cs="Times New Roman"/>
                <w:bCs/>
                <w:sz w:val="24"/>
                <w:szCs w:val="24"/>
              </w:rPr>
            </w:pPr>
            <w:r>
              <w:rPr>
                <w:rFonts w:hint="eastAsia"/>
                <w:bCs/>
                <w:sz w:val="24"/>
                <w:szCs w:val="24"/>
              </w:rPr>
              <w:t>⑤</w:t>
            </w:r>
            <w:r>
              <w:rPr>
                <w:rFonts w:ascii="Times New Roman" w:hAnsi="Times New Roman" w:cs="Times New Roman"/>
                <w:bCs/>
                <w:sz w:val="24"/>
                <w:szCs w:val="24"/>
              </w:rPr>
              <w:t>做好工厂环保设施运行记录的档案管理工作，定期检查环境管理计划实施情况。</w:t>
            </w:r>
          </w:p>
          <w:p>
            <w:pPr>
              <w:spacing w:line="360" w:lineRule="auto"/>
              <w:ind w:firstLine="480" w:firstLineChars="200"/>
              <w:rPr>
                <w:rFonts w:ascii="Times New Roman" w:hAnsi="Times New Roman" w:cs="Times New Roman"/>
                <w:bCs/>
                <w:sz w:val="24"/>
                <w:szCs w:val="24"/>
              </w:rPr>
            </w:pPr>
            <w:r>
              <w:rPr>
                <w:rFonts w:hint="eastAsia"/>
                <w:bCs/>
                <w:sz w:val="24"/>
                <w:szCs w:val="24"/>
              </w:rPr>
              <w:t>⑥</w:t>
            </w:r>
            <w:r>
              <w:rPr>
                <w:rFonts w:ascii="Times New Roman" w:hAnsi="Times New Roman" w:cs="Times New Roman"/>
                <w:bCs/>
                <w:sz w:val="24"/>
                <w:szCs w:val="24"/>
              </w:rPr>
              <w:t>检查工厂内部环境治理设备的运转情况，日常维护及保养情况，保证其正常运行。</w:t>
            </w:r>
          </w:p>
          <w:p>
            <w:pPr>
              <w:spacing w:line="360" w:lineRule="auto"/>
              <w:ind w:firstLine="480" w:firstLineChars="200"/>
              <w:rPr>
                <w:rFonts w:ascii="Times New Roman" w:hAnsi="Times New Roman" w:cs="Times New Roman"/>
                <w:bCs/>
                <w:sz w:val="24"/>
                <w:szCs w:val="24"/>
              </w:rPr>
            </w:pPr>
            <w:r>
              <w:rPr>
                <w:rFonts w:hint="eastAsia"/>
                <w:bCs/>
                <w:sz w:val="24"/>
                <w:szCs w:val="24"/>
              </w:rPr>
              <w:t>⑦</w:t>
            </w:r>
            <w:r>
              <w:rPr>
                <w:rFonts w:ascii="Times New Roman" w:hAnsi="Times New Roman" w:cs="Times New Roman"/>
                <w:bCs/>
                <w:sz w:val="24"/>
                <w:szCs w:val="24"/>
              </w:rPr>
              <w:t>制定应急措施，避免重大环境安全事故的发生。</w:t>
            </w:r>
          </w:p>
          <w:p>
            <w:pPr>
              <w:spacing w:line="480" w:lineRule="exact"/>
              <w:ind w:firstLine="480"/>
              <w:rPr>
                <w:rFonts w:hint="eastAsia"/>
                <w:sz w:val="24"/>
                <w:szCs w:val="24"/>
              </w:rPr>
            </w:pPr>
            <w:r>
              <w:rPr>
                <w:rFonts w:hint="eastAsia"/>
                <w:bCs/>
                <w:sz w:val="24"/>
                <w:szCs w:val="24"/>
              </w:rPr>
              <w:t>⑧</w:t>
            </w:r>
            <w:r>
              <w:rPr>
                <w:rFonts w:ascii="Times New Roman" w:hAnsi="Times New Roman" w:cs="Times New Roman"/>
                <w:bCs/>
                <w:sz w:val="24"/>
                <w:szCs w:val="24"/>
              </w:rPr>
              <w:t>经常开展环保技术人员培训，提高环保人员技术水平。</w:t>
            </w:r>
          </w:p>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7、</w:t>
            </w:r>
            <w:r>
              <w:rPr>
                <w:rFonts w:ascii="Times New Roman" w:hAnsi="Times New Roman" w:cs="Times New Roman"/>
                <w:b/>
                <w:sz w:val="24"/>
                <w:szCs w:val="24"/>
              </w:rPr>
              <w:t>污染源监测计划</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（1）污染物排放监测</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企业应委托监测单位定期监测噪声、</w:t>
            </w:r>
            <w:r>
              <w:rPr>
                <w:rFonts w:hint="eastAsia" w:ascii="Times New Roman" w:hAnsi="Times New Roman" w:cs="Times New Roman"/>
                <w:sz w:val="24"/>
                <w:szCs w:val="24"/>
                <w:lang w:val="en-US" w:eastAsia="zh-CN"/>
              </w:rPr>
              <w:t>废气</w:t>
            </w:r>
            <w:r>
              <w:rPr>
                <w:rFonts w:ascii="Times New Roman" w:hAnsi="Times New Roman" w:cs="Times New Roman"/>
                <w:sz w:val="24"/>
                <w:szCs w:val="24"/>
              </w:rPr>
              <w:t>等各类污染物的排放。</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①废气监测计划</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监测点位：排气筒进口、排口设置监测点；厂界下风向设置3个无组织排放监控点，上风向设置1个参照点；</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监测频次：按照环境管理要求进行监测；</w:t>
            </w:r>
          </w:p>
          <w:p>
            <w:pPr>
              <w:tabs>
                <w:tab w:val="left" w:pos="2160"/>
              </w:tabs>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废气监测位置、监测因子、频次等详见表7-2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p>
          <w:p>
            <w:pPr>
              <w:pStyle w:val="34"/>
              <w:spacing w:beforeLines="0" w:line="400" w:lineRule="exac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表7-2</w:t>
            </w:r>
            <w:r>
              <w:rPr>
                <w:rFonts w:hint="default" w:ascii="Times New Roman" w:hAnsi="Times New Roman" w:cs="Times New Roman"/>
                <w:b/>
                <w:sz w:val="24"/>
                <w:szCs w:val="24"/>
                <w:lang w:val="en-US" w:eastAsia="zh-CN"/>
              </w:rPr>
              <w:t>2</w:t>
            </w:r>
            <w:r>
              <w:rPr>
                <w:rFonts w:hint="default" w:ascii="Times New Roman" w:hAnsi="Times New Roman" w:cs="Times New Roman"/>
                <w:b/>
                <w:sz w:val="24"/>
                <w:szCs w:val="24"/>
              </w:rPr>
              <w:t xml:space="preserve">  废气监测因子及频次表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31"/>
              <w:gridCol w:w="4438"/>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43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4438"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c>
                <w:tcPr>
                  <w:tcW w:w="1433"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431" w:type="dxa"/>
                  <w:vAlign w:val="center"/>
                </w:tcPr>
                <w:p>
                  <w:pPr>
                    <w:snapToGrid w:val="0"/>
                    <w:spacing w:line="28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#排气筒</w:t>
                  </w:r>
                </w:p>
              </w:tc>
              <w:tc>
                <w:tcPr>
                  <w:tcW w:w="4438" w:type="dxa"/>
                  <w:vAlign w:val="center"/>
                </w:tcPr>
                <w:p>
                  <w:pPr>
                    <w:pStyle w:val="43"/>
                    <w:spacing w:before="24" w:after="24"/>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颗粒物、NO</w:t>
                  </w:r>
                  <w:r>
                    <w:rPr>
                      <w:rFonts w:hint="eastAsia" w:ascii="Times New Roman" w:hAnsi="Times New Roman" w:eastAsia="宋体" w:cs="Times New Roman"/>
                      <w:sz w:val="21"/>
                      <w:szCs w:val="21"/>
                      <w:vertAlign w:val="subscript"/>
                      <w:lang w:val="en-US" w:eastAsia="zh-CN"/>
                    </w:rPr>
                    <w:t>X</w:t>
                  </w:r>
                </w:p>
              </w:tc>
              <w:tc>
                <w:tcPr>
                  <w:tcW w:w="1433" w:type="dxa"/>
                  <w:vMerge w:val="restart"/>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按照环境管理要求进行监测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431" w:type="dxa"/>
                  <w:vAlign w:val="center"/>
                </w:tcPr>
                <w:p>
                  <w:pPr>
                    <w:snapToGrid w:val="0"/>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厂界无组织废气</w:t>
                  </w:r>
                </w:p>
              </w:tc>
              <w:tc>
                <w:tcPr>
                  <w:tcW w:w="4438" w:type="dxa"/>
                  <w:vAlign w:val="center"/>
                </w:tcPr>
                <w:p>
                  <w:pPr>
                    <w:pStyle w:val="43"/>
                    <w:spacing w:before="24" w:after="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433" w:type="dxa"/>
                  <w:vMerge w:val="continue"/>
                  <w:vAlign w:val="center"/>
                </w:tcPr>
                <w:p>
                  <w:pPr>
                    <w:snapToGrid w:val="0"/>
                    <w:spacing w:line="280" w:lineRule="exact"/>
                    <w:jc w:val="center"/>
                    <w:rPr>
                      <w:rFonts w:hint="default" w:ascii="Times New Roman" w:hAnsi="Times New Roman" w:cs="Times New Roman"/>
                      <w:sz w:val="21"/>
                      <w:szCs w:val="21"/>
                    </w:rPr>
                  </w:pPr>
                </w:p>
              </w:tc>
            </w:tr>
          </w:tbl>
          <w:p>
            <w:pPr>
              <w:spacing w:line="480" w:lineRule="exact"/>
              <w:ind w:firstLine="480" w:firstLineChars="200"/>
              <w:rPr>
                <w:rFonts w:ascii="Times New Roman" w:hAnsi="Times New Roman" w:cs="Times New Roman"/>
                <w:sz w:val="24"/>
                <w:szCs w:val="24"/>
              </w:rPr>
            </w:pPr>
            <w:r>
              <w:rPr>
                <w:rFonts w:hint="eastAsia" w:cs="Times New Roman"/>
                <w:sz w:val="24"/>
                <w:szCs w:val="24"/>
              </w:rPr>
              <w:t>②</w:t>
            </w:r>
            <w:r>
              <w:rPr>
                <w:rFonts w:ascii="Times New Roman" w:hAnsi="Times New Roman" w:cs="Times New Roman"/>
                <w:sz w:val="24"/>
                <w:szCs w:val="24"/>
              </w:rPr>
              <w:t>厂界噪声监测计划</w:t>
            </w:r>
          </w:p>
          <w:p>
            <w:pPr>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监测点位：厂界四周布设4个点位；</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监测频次：按照环境管理要求进行监测；</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监测因子：厂界噪声昼间等效连续A声级Leq(A)。</w:t>
            </w:r>
          </w:p>
          <w:p>
            <w:pPr>
              <w:tabs>
                <w:tab w:val="left" w:pos="2160"/>
              </w:tabs>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噪声监测位置、监测因子、频率等详见表7-</w:t>
            </w:r>
            <w:r>
              <w:rPr>
                <w:rFonts w:hint="eastAsia" w:ascii="Times New Roman" w:hAnsi="Times New Roman" w:cs="Times New Roman"/>
                <w:sz w:val="24"/>
                <w:szCs w:val="24"/>
                <w:lang w:val="en-US" w:eastAsia="zh-CN"/>
              </w:rPr>
              <w:t>11</w:t>
            </w:r>
            <w:r>
              <w:rPr>
                <w:rFonts w:ascii="Times New Roman" w:hAnsi="Times New Roman" w:cs="Times New Roman"/>
                <w:sz w:val="24"/>
                <w:szCs w:val="24"/>
              </w:rPr>
              <w:t>。</w:t>
            </w:r>
          </w:p>
          <w:p>
            <w:pPr>
              <w:pStyle w:val="34"/>
              <w:spacing w:beforeLines="0" w:line="480" w:lineRule="exact"/>
              <w:ind w:firstLine="0" w:firstLineChars="0"/>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lang w:val="en-US" w:eastAsia="zh-CN"/>
              </w:rPr>
              <w:t>11</w:t>
            </w:r>
            <w:r>
              <w:rPr>
                <w:rFonts w:ascii="Times New Roman" w:hAnsi="Times New Roman" w:cs="Times New Roman"/>
                <w:b/>
                <w:sz w:val="24"/>
                <w:szCs w:val="24"/>
              </w:rPr>
              <w:t xml:space="preserve">  噪声监测因子及频次表</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07"/>
              <w:gridCol w:w="206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监测点位</w:t>
                  </w:r>
                </w:p>
              </w:tc>
              <w:tc>
                <w:tcPr>
                  <w:tcW w:w="2061"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监测因子</w:t>
                  </w:r>
                </w:p>
              </w:tc>
              <w:tc>
                <w:tcPr>
                  <w:tcW w:w="303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207"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厂界四周</w:t>
                  </w:r>
                </w:p>
              </w:tc>
              <w:tc>
                <w:tcPr>
                  <w:tcW w:w="2061" w:type="dxa"/>
                  <w:vAlign w:val="center"/>
                </w:tcPr>
                <w:p>
                  <w:pPr>
                    <w:snapToGrid w:val="0"/>
                    <w:spacing w:line="280" w:lineRule="exact"/>
                    <w:jc w:val="center"/>
                    <w:rPr>
                      <w:rFonts w:ascii="Times New Roman" w:hAnsi="Times New Roman" w:cs="Times New Roman"/>
                      <w:sz w:val="21"/>
                      <w:szCs w:val="21"/>
                    </w:rPr>
                  </w:pPr>
                  <w:r>
                    <w:rPr>
                      <w:rFonts w:hint="eastAsia" w:ascii="Times New Roman" w:hAnsi="Times New Roman" w:cs="Times New Roman"/>
                      <w:sz w:val="21"/>
                      <w:szCs w:val="21"/>
                    </w:rPr>
                    <w:t>昼间</w:t>
                  </w:r>
                  <w:r>
                    <w:rPr>
                      <w:rFonts w:ascii="Times New Roman" w:hAnsi="Times New Roman" w:cs="Times New Roman"/>
                      <w:sz w:val="21"/>
                      <w:szCs w:val="21"/>
                    </w:rPr>
                    <w:t>等效连续A声级</w:t>
                  </w:r>
                </w:p>
              </w:tc>
              <w:tc>
                <w:tcPr>
                  <w:tcW w:w="3034" w:type="dxa"/>
                  <w:vAlign w:val="center"/>
                </w:tcPr>
                <w:p>
                  <w:pPr>
                    <w:snapToGrid w:val="0"/>
                    <w:spacing w:line="280" w:lineRule="exact"/>
                    <w:jc w:val="center"/>
                    <w:rPr>
                      <w:rFonts w:ascii="Times New Roman" w:hAnsi="Times New Roman" w:cs="Times New Roman"/>
                      <w:sz w:val="21"/>
                      <w:szCs w:val="21"/>
                    </w:rPr>
                  </w:pPr>
                  <w:r>
                    <w:rPr>
                      <w:rFonts w:ascii="Times New Roman" w:hAnsi="Times New Roman" w:cs="Times New Roman"/>
                      <w:sz w:val="21"/>
                      <w:szCs w:val="21"/>
                    </w:rPr>
                    <w:t>按照环境管理要求进行监测</w:t>
                  </w:r>
                </w:p>
              </w:tc>
            </w:tr>
          </w:tbl>
          <w:p>
            <w:pPr>
              <w:spacing w:line="480" w:lineRule="exact"/>
              <w:ind w:firstLine="482" w:firstLineChars="200"/>
              <w:rPr>
                <w:rFonts w:ascii="Times New Roman" w:hAnsi="Times New Roman" w:cs="Times New Roman"/>
                <w:b/>
                <w:sz w:val="24"/>
                <w:szCs w:val="24"/>
              </w:rPr>
            </w:pPr>
            <w:r>
              <w:rPr>
                <w:rFonts w:hint="eastAsia" w:ascii="Times New Roman" w:hAnsi="Times New Roman" w:cs="Times New Roman"/>
                <w:b/>
                <w:sz w:val="24"/>
                <w:szCs w:val="24"/>
              </w:rPr>
              <w:t>8、</w:t>
            </w:r>
            <w:r>
              <w:rPr>
                <w:rFonts w:ascii="Times New Roman" w:hAnsi="Times New Roman" w:cs="Times New Roman"/>
                <w:b/>
                <w:sz w:val="24"/>
                <w:szCs w:val="24"/>
              </w:rPr>
              <w:t>污染物排污口规范化设置</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废水排放口</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排水系统按“清污分流、雨污分流”原则设计。全厂在排入市政污水管网之前设置废水接管口1个，雨水排放口1个，并在污水接管口设置便于采样的采样井。污水接管口在厂区范围内设计成明渠，并配备符合要求的污水流量计，在明渠附近设置符合规定的环境保护图形标牌，标明主要污染物名称、废水排放量等，实行排污口立标管理。雨水排放口设置可控闸门。</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项目厂区内污水管网采用明管输送，应标识污水来源（生活污水），必须经闭水试验合格后方可投入使用，雨、污水排水管网图应分别在雨、污水排放口附近上墙明示。</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w:t>
            </w:r>
            <w:r>
              <w:rPr>
                <w:rFonts w:ascii="Times New Roman" w:hAnsi="Times New Roman" w:cs="Times New Roman"/>
                <w:sz w:val="24"/>
                <w:szCs w:val="24"/>
              </w:rPr>
              <w:t>固定噪声源</w:t>
            </w:r>
          </w:p>
          <w:p>
            <w:pPr>
              <w:autoSpaceDE w:val="0"/>
              <w:autoSpaceDN w:val="0"/>
              <w:adjustRightIn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根据不同噪声源的情况，采取减振降噪、吸声、隔声等措施，使厂界达到相应功能区的标准要求。在厂界噪声敏感且对外界影响最大处设置固定噪声源的监测点和噪声环境保护图形标志牌。</w:t>
            </w:r>
          </w:p>
          <w:p>
            <w:pPr>
              <w:spacing w:line="4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w:t>
            </w:r>
            <w:r>
              <w:rPr>
                <w:rFonts w:ascii="Times New Roman" w:hAnsi="Times New Roman" w:cs="Times New Roman"/>
                <w:sz w:val="24"/>
                <w:szCs w:val="24"/>
              </w:rPr>
              <w:t>固体废物贮存（处置）场所</w:t>
            </w:r>
          </w:p>
          <w:p>
            <w:pPr>
              <w:autoSpaceDE w:val="0"/>
              <w:autoSpaceDN w:val="0"/>
              <w:adjustRightIn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各种固体废物处置设施、堆放场所有防火、防扬散、防流失、防淋雨、防腐蚀、防渗漏或者其它防止污染环境的措施，在醒目处设置环境保护图形标志牌。</w:t>
            </w:r>
          </w:p>
          <w:p>
            <w:pPr>
              <w:pStyle w:val="2"/>
              <w:jc w:val="center"/>
              <w:rPr>
                <w:rFonts w:ascii="Times New Roman" w:hAnsi="Times New Roman" w:cs="Times New Roman"/>
                <w:sz w:val="24"/>
                <w:szCs w:val="24"/>
              </w:rPr>
            </w:pPr>
            <w:r>
              <w:rPr>
                <w:rFonts w:ascii="Times New Roman" w:hAnsi="Times New Roman" w:cs="Times New Roman"/>
                <w:sz w:val="24"/>
                <w:szCs w:val="24"/>
              </w:rPr>
              <w:t>表7-</w:t>
            </w:r>
            <w:r>
              <w:rPr>
                <w:rFonts w:hint="eastAsia" w:ascii="Times New Roman" w:hAnsi="Times New Roman" w:cs="Times New Roman"/>
                <w:sz w:val="24"/>
                <w:szCs w:val="24"/>
                <w:lang w:val="en-US" w:eastAsia="zh-CN"/>
              </w:rPr>
              <w:t>12</w:t>
            </w:r>
            <w:r>
              <w:rPr>
                <w:rFonts w:ascii="Times New Roman" w:hAnsi="Times New Roman" w:cs="Times New Roman"/>
                <w:sz w:val="24"/>
                <w:szCs w:val="24"/>
              </w:rPr>
              <w:t xml:space="preserve"> 污染物排放清单</w:t>
            </w:r>
          </w:p>
          <w:tbl>
            <w:tblPr>
              <w:tblStyle w:val="1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201"/>
              <w:gridCol w:w="244"/>
              <w:gridCol w:w="497"/>
              <w:gridCol w:w="919"/>
              <w:gridCol w:w="714"/>
              <w:gridCol w:w="631"/>
              <w:gridCol w:w="746"/>
              <w:gridCol w:w="1836"/>
              <w:gridCol w:w="747"/>
              <w:gridCol w:w="74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3"/>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种类</w:t>
                  </w:r>
                </w:p>
              </w:tc>
              <w:tc>
                <w:tcPr>
                  <w:tcW w:w="1416" w:type="dxa"/>
                  <w:gridSpan w:val="2"/>
                  <w:vMerge w:val="restart"/>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环境保护措施</w:t>
                  </w:r>
                </w:p>
              </w:tc>
              <w:tc>
                <w:tcPr>
                  <w:tcW w:w="714"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631"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排放浓度mg/L</w:t>
                  </w:r>
                </w:p>
              </w:tc>
              <w:tc>
                <w:tcPr>
                  <w:tcW w:w="74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258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总量控制t/a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gridSpan w:val="3"/>
                  <w:vMerge w:val="continue"/>
                  <w:tcBorders>
                    <w:bottom w:val="single" w:color="auto" w:sz="2" w:space="0"/>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1416" w:type="dxa"/>
                  <w:gridSpan w:val="2"/>
                  <w:vMerge w:val="continue"/>
                  <w:tcBorders>
                    <w:left w:val="single" w:color="auto" w:sz="2" w:space="0"/>
                    <w:bottom w:val="single" w:color="auto" w:sz="2" w:space="0"/>
                  </w:tcBorders>
                  <w:vAlign w:val="center"/>
                </w:tcPr>
                <w:p>
                  <w:pPr>
                    <w:spacing w:line="300" w:lineRule="exact"/>
                    <w:jc w:val="center"/>
                    <w:rPr>
                      <w:rFonts w:hint="default" w:ascii="Times New Roman" w:hAnsi="Times New Roman" w:cs="Times New Roman"/>
                      <w:sz w:val="21"/>
                      <w:szCs w:val="21"/>
                    </w:rPr>
                  </w:pPr>
                </w:p>
              </w:tc>
              <w:tc>
                <w:tcPr>
                  <w:tcW w:w="714"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631"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Merge w:val="continue"/>
                  <w:vAlign w:val="center"/>
                </w:tcPr>
                <w:p>
                  <w:pPr>
                    <w:spacing w:line="300" w:lineRule="exact"/>
                    <w:jc w:val="center"/>
                    <w:rPr>
                      <w:rFonts w:hint="default" w:ascii="Times New Roman" w:hAnsi="Times New Roman" w:cs="Times New Roman"/>
                      <w:sz w:val="21"/>
                      <w:szCs w:val="21"/>
                    </w:rPr>
                  </w:pPr>
                </w:p>
              </w:tc>
              <w:tc>
                <w:tcPr>
                  <w:tcW w:w="1836" w:type="dxa"/>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747" w:type="dxa"/>
                  <w:tcBorders>
                    <w:lef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浓度mg/L</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控制总量</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考核总量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404" w:type="dxa"/>
                  <w:vMerge w:val="restart"/>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201"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有</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组</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织</w:t>
                  </w:r>
                </w:p>
              </w:tc>
              <w:tc>
                <w:tcPr>
                  <w:tcW w:w="244"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排气筒</w:t>
                  </w:r>
                </w:p>
              </w:tc>
              <w:tc>
                <w:tcPr>
                  <w:tcW w:w="497" w:type="dxa"/>
                  <w:vMerge w:val="restart"/>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919"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环保措施</w:t>
                  </w:r>
                </w:p>
              </w:tc>
              <w:tc>
                <w:tcPr>
                  <w:tcW w:w="714" w:type="dxa"/>
                  <w:vMerge w:val="restart"/>
                  <w:tcMar>
                    <w:left w:w="0" w:type="dxa"/>
                    <w:right w:w="0" w:type="dxa"/>
                  </w:tcMar>
                  <w:vAlign w:val="center"/>
                </w:tcPr>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污染物</w:t>
                  </w:r>
                </w:p>
                <w:p>
                  <w:pPr>
                    <w:spacing w:line="30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名称</w:t>
                  </w:r>
                </w:p>
              </w:tc>
              <w:tc>
                <w:tcPr>
                  <w:tcW w:w="631"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74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排放量</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1836" w:type="dxa"/>
                  <w:vMerge w:val="restart"/>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执行标准</w:t>
                  </w:r>
                </w:p>
              </w:tc>
              <w:tc>
                <w:tcPr>
                  <w:tcW w:w="747"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浓度限值</w:t>
                  </w:r>
                </w:p>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36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总量控制t/a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201"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244" w:type="dxa"/>
                  <w:vMerge w:val="continue"/>
                  <w:tcBorders>
                    <w:bottom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497" w:type="dxa"/>
                  <w:vMerge w:val="continue"/>
                  <w:tcBorders>
                    <w:bottom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919" w:type="dxa"/>
                  <w:vMerge w:val="continue"/>
                  <w:tcBorders>
                    <w:bottom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631"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Merge w:val="continue"/>
                  <w:vAlign w:val="center"/>
                </w:tcPr>
                <w:p>
                  <w:pPr>
                    <w:spacing w:line="300" w:lineRule="exact"/>
                    <w:jc w:val="center"/>
                    <w:rPr>
                      <w:rFonts w:hint="default" w:ascii="Times New Roman" w:hAnsi="Times New Roman" w:cs="Times New Roman"/>
                      <w:sz w:val="21"/>
                      <w:szCs w:val="21"/>
                    </w:rPr>
                  </w:pPr>
                </w:p>
              </w:tc>
              <w:tc>
                <w:tcPr>
                  <w:tcW w:w="1836" w:type="dxa"/>
                  <w:vMerge w:val="continue"/>
                  <w:vAlign w:val="center"/>
                </w:tcPr>
                <w:p>
                  <w:pPr>
                    <w:spacing w:line="300" w:lineRule="exact"/>
                    <w:jc w:val="center"/>
                    <w:rPr>
                      <w:rFonts w:hint="default" w:ascii="Times New Roman" w:hAnsi="Times New Roman" w:cs="Times New Roman"/>
                      <w:sz w:val="21"/>
                      <w:szCs w:val="21"/>
                    </w:rPr>
                  </w:pPr>
                </w:p>
              </w:tc>
              <w:tc>
                <w:tcPr>
                  <w:tcW w:w="747"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控制量</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考核量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201"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244" w:type="dxa"/>
                  <w:vMerge w:val="restart"/>
                  <w:tcBorders>
                    <w:top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w:t>
                  </w:r>
                </w:p>
              </w:tc>
              <w:tc>
                <w:tcPr>
                  <w:tcW w:w="497" w:type="dxa"/>
                  <w:vMerge w:val="restart"/>
                  <w:tcBorders>
                    <w:top w:val="single" w:color="auto" w:sz="2" w:space="0"/>
                    <w:right w:val="single" w:color="auto" w:sz="2" w:space="0"/>
                  </w:tcBorders>
                  <w:tcMar>
                    <w:left w:w="0" w:type="dxa"/>
                    <w:right w:w="0" w:type="dxa"/>
                  </w:tcMar>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color w:val="000000"/>
                      <w:kern w:val="0"/>
                      <w:szCs w:val="21"/>
                      <w:lang w:val="en-US" w:eastAsia="zh-CN"/>
                    </w:rPr>
                    <w:t>520.02</w:t>
                  </w:r>
                </w:p>
              </w:tc>
              <w:tc>
                <w:tcPr>
                  <w:tcW w:w="919" w:type="dxa"/>
                  <w:vMerge w:val="restart"/>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经水膜除尘处理后经20m高的1#排气筒排放</w:t>
                  </w:r>
                </w:p>
              </w:tc>
              <w:tc>
                <w:tcPr>
                  <w:tcW w:w="714" w:type="dxa"/>
                  <w:tcMar>
                    <w:left w:w="0" w:type="dxa"/>
                    <w:right w:w="0" w:type="dxa"/>
                  </w:tcMar>
                  <w:vAlign w:val="center"/>
                </w:tcPr>
                <w:p>
                  <w:pPr>
                    <w:widowControl/>
                    <w:snapToGrid w:val="0"/>
                    <w:jc w:val="center"/>
                    <w:rPr>
                      <w:rFonts w:hint="default" w:ascii="Times New Roman" w:hAnsi="Times New Roman" w:cs="Times New Roman"/>
                      <w:sz w:val="21"/>
                      <w:szCs w:val="21"/>
                    </w:rPr>
                  </w:pPr>
                  <w:r>
                    <w:rPr>
                      <w:rFonts w:ascii="Times New Roman" w:hAnsi="Times New Roman" w:cs="Times New Roman"/>
                      <w:kern w:val="0"/>
                      <w:szCs w:val="21"/>
                    </w:rPr>
                    <w:t>烟尘</w:t>
                  </w:r>
                </w:p>
              </w:tc>
              <w:tc>
                <w:tcPr>
                  <w:tcW w:w="631" w:type="dxa"/>
                  <w:tcMar>
                    <w:left w:w="0" w:type="dxa"/>
                    <w:right w:w="0" w:type="dxa"/>
                  </w:tcMar>
                  <w:vAlign w:val="center"/>
                </w:tcPr>
                <w:p>
                  <w:pPr>
                    <w:widowControl/>
                    <w:jc w:val="center"/>
                    <w:rPr>
                      <w:rFonts w:hint="default" w:ascii="Times New Roman" w:hAnsi="Times New Roman" w:cs="Times New Roman"/>
                      <w:bCs/>
                      <w:sz w:val="21"/>
                      <w:szCs w:val="21"/>
                    </w:rPr>
                  </w:pPr>
                  <w:r>
                    <w:rPr>
                      <w:rFonts w:hint="eastAsia" w:ascii="Times New Roman" w:hAnsi="Times New Roman" w:cs="Times New Roman"/>
                      <w:szCs w:val="21"/>
                      <w:lang w:val="en-US" w:eastAsia="zh-CN"/>
                    </w:rPr>
                    <w:t>4.01</w:t>
                  </w:r>
                </w:p>
              </w:tc>
              <w:tc>
                <w:tcPr>
                  <w:tcW w:w="746" w:type="dxa"/>
                  <w:vAlign w:val="center"/>
                </w:tcPr>
                <w:p>
                  <w:pPr>
                    <w:widowControl/>
                    <w:jc w:val="center"/>
                    <w:rPr>
                      <w:rFonts w:hint="default" w:ascii="Times New Roman" w:hAnsi="Times New Roman" w:cs="Times New Roman"/>
                      <w:bCs/>
                      <w:sz w:val="21"/>
                      <w:szCs w:val="21"/>
                    </w:rPr>
                  </w:pPr>
                  <w:r>
                    <w:rPr>
                      <w:rFonts w:hint="eastAsia" w:ascii="Times New Roman" w:hAnsi="Times New Roman" w:cs="Times New Roman"/>
                      <w:szCs w:val="21"/>
                      <w:lang w:val="en-US" w:eastAsia="zh-CN"/>
                    </w:rPr>
                    <w:t>0.015</w:t>
                  </w:r>
                </w:p>
              </w:tc>
              <w:tc>
                <w:tcPr>
                  <w:tcW w:w="1836" w:type="dxa"/>
                  <w:vMerge w:val="restart"/>
                  <w:vAlign w:val="center"/>
                </w:tcPr>
                <w:p>
                  <w:pPr>
                    <w:pStyle w:val="46"/>
                    <w:spacing w:line="30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锅炉大气污染物排放标准》（GB13271-2014）</w:t>
                  </w:r>
                </w:p>
              </w:tc>
              <w:tc>
                <w:tcPr>
                  <w:tcW w:w="747"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bCs/>
                      <w:sz w:val="21"/>
                      <w:szCs w:val="21"/>
                      <w:lang w:val="en-US"/>
                    </w:rPr>
                  </w:pPr>
                  <w:r>
                    <w:rPr>
                      <w:rFonts w:hint="eastAsia" w:ascii="Times New Roman" w:hAnsi="Times New Roman" w:eastAsia="宋体" w:cs="Times New Roman"/>
                      <w:i w:val="0"/>
                      <w:color w:val="000000"/>
                      <w:kern w:val="0"/>
                      <w:sz w:val="21"/>
                      <w:szCs w:val="21"/>
                      <w:u w:val="none"/>
                      <w:lang w:val="en-US" w:eastAsia="zh-CN" w:bidi="ar"/>
                    </w:rPr>
                    <w:t>30</w:t>
                  </w:r>
                </w:p>
              </w:tc>
              <w:tc>
                <w:tcPr>
                  <w:tcW w:w="746" w:type="dxa"/>
                  <w:vAlign w:val="center"/>
                </w:tcPr>
                <w:p>
                  <w:pPr>
                    <w:widowControl/>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Cs w:val="21"/>
                      <w:lang w:val="en-US" w:eastAsia="zh-CN"/>
                    </w:rPr>
                    <w:t>0.015</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201" w:type="dxa"/>
                  <w:vMerge w:val="continue"/>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244" w:type="dxa"/>
                  <w:vMerge w:val="continue"/>
                  <w:tcBorders>
                    <w:right w:val="single" w:color="auto" w:sz="2" w:space="0"/>
                  </w:tcBorders>
                  <w:tcMar>
                    <w:left w:w="0" w:type="dxa"/>
                    <w:right w:w="0" w:type="dxa"/>
                  </w:tcMar>
                  <w:vAlign w:val="center"/>
                </w:tcPr>
                <w:p>
                  <w:pPr>
                    <w:jc w:val="center"/>
                    <w:rPr>
                      <w:rFonts w:hint="default" w:ascii="Times New Roman" w:hAnsi="Times New Roman" w:cs="Times New Roman"/>
                      <w:sz w:val="21"/>
                      <w:szCs w:val="21"/>
                    </w:rPr>
                  </w:pPr>
                </w:p>
              </w:tc>
              <w:tc>
                <w:tcPr>
                  <w:tcW w:w="497" w:type="dxa"/>
                  <w:vMerge w:val="continue"/>
                  <w:tcBorders>
                    <w:right w:val="single" w:color="auto" w:sz="2" w:space="0"/>
                  </w:tcBorders>
                  <w:tcMar>
                    <w:left w:w="0" w:type="dxa"/>
                    <w:right w:w="0" w:type="dxa"/>
                  </w:tcMar>
                  <w:vAlign w:val="center"/>
                </w:tcPr>
                <w:p>
                  <w:pPr>
                    <w:jc w:val="center"/>
                    <w:rPr>
                      <w:rFonts w:hint="default" w:ascii="Times New Roman" w:hAnsi="Times New Roman" w:cs="Times New Roman" w:eastAsiaTheme="minorEastAsia"/>
                      <w:sz w:val="21"/>
                      <w:szCs w:val="21"/>
                      <w:lang w:val="en-US" w:eastAsia="zh-CN"/>
                    </w:rPr>
                  </w:pPr>
                </w:p>
              </w:tc>
              <w:tc>
                <w:tcPr>
                  <w:tcW w:w="919" w:type="dxa"/>
                  <w:vMerge w:val="continue"/>
                  <w:tcMar>
                    <w:left w:w="0" w:type="dxa"/>
                    <w:right w:w="0" w:type="dxa"/>
                  </w:tcMar>
                  <w:vAlign w:val="center"/>
                </w:tcPr>
                <w:p>
                  <w:pPr>
                    <w:spacing w:line="300" w:lineRule="exact"/>
                    <w:jc w:val="center"/>
                    <w:rPr>
                      <w:rFonts w:hint="default" w:ascii="Times New Roman" w:hAnsi="Times New Roman" w:cs="Times New Roman"/>
                      <w:sz w:val="21"/>
                      <w:szCs w:val="21"/>
                    </w:rPr>
                  </w:pPr>
                </w:p>
              </w:tc>
              <w:tc>
                <w:tcPr>
                  <w:tcW w:w="714" w:type="dxa"/>
                  <w:tcMar>
                    <w:left w:w="0" w:type="dxa"/>
                    <w:right w:w="0" w:type="dxa"/>
                  </w:tcMar>
                  <w:vAlign w:val="center"/>
                </w:tcPr>
                <w:p>
                  <w:pPr>
                    <w:widowControl/>
                    <w:snapToGrid w:val="0"/>
                    <w:jc w:val="center"/>
                    <w:rPr>
                      <w:rFonts w:hint="default" w:ascii="Times New Roman" w:hAnsi="Times New Roman" w:cs="Times New Roman"/>
                      <w:sz w:val="21"/>
                      <w:szCs w:val="21"/>
                    </w:rPr>
                  </w:pPr>
                  <w:r>
                    <w:rPr>
                      <w:rFonts w:ascii="Times New Roman" w:hAnsi="Times New Roman" w:cs="Times New Roman"/>
                      <w:kern w:val="0"/>
                      <w:szCs w:val="21"/>
                    </w:rPr>
                    <w:t>NOx</w:t>
                  </w:r>
                </w:p>
              </w:tc>
              <w:tc>
                <w:tcPr>
                  <w:tcW w:w="631" w:type="dxa"/>
                  <w:tcMar>
                    <w:left w:w="0" w:type="dxa"/>
                    <w:right w:w="0" w:type="dxa"/>
                  </w:tcMar>
                  <w:vAlign w:val="center"/>
                </w:tcPr>
                <w:p>
                  <w:pPr>
                    <w:widowControl/>
                    <w:jc w:val="center"/>
                    <w:rPr>
                      <w:rFonts w:hint="default" w:ascii="Times New Roman" w:hAnsi="Times New Roman" w:cs="Times New Roman"/>
                      <w:sz w:val="21"/>
                      <w:szCs w:val="21"/>
                    </w:rPr>
                  </w:pPr>
                  <w:r>
                    <w:rPr>
                      <w:rFonts w:hint="eastAsia" w:ascii="Times New Roman" w:hAnsi="Times New Roman" w:cs="Times New Roman"/>
                      <w:szCs w:val="21"/>
                      <w:lang w:val="en-US" w:eastAsia="zh-CN"/>
                    </w:rPr>
                    <w:t>163.46</w:t>
                  </w:r>
                </w:p>
              </w:tc>
              <w:tc>
                <w:tcPr>
                  <w:tcW w:w="746" w:type="dxa"/>
                  <w:vAlign w:val="center"/>
                </w:tcPr>
                <w:p>
                  <w:pPr>
                    <w:widowControl/>
                    <w:jc w:val="center"/>
                    <w:rPr>
                      <w:rFonts w:hint="default" w:ascii="Times New Roman" w:hAnsi="Times New Roman" w:cs="Times New Roman"/>
                      <w:sz w:val="21"/>
                      <w:szCs w:val="21"/>
                    </w:rPr>
                  </w:pPr>
                  <w:r>
                    <w:rPr>
                      <w:rFonts w:hint="eastAsia" w:ascii="Times New Roman" w:hAnsi="Times New Roman" w:cs="Times New Roman"/>
                      <w:szCs w:val="21"/>
                      <w:lang w:val="en-US" w:eastAsia="zh-CN"/>
                    </w:rPr>
                    <w:t>0.612</w:t>
                  </w:r>
                </w:p>
              </w:tc>
              <w:tc>
                <w:tcPr>
                  <w:tcW w:w="1836" w:type="dxa"/>
                  <w:vMerge w:val="continue"/>
                  <w:vAlign w:val="center"/>
                </w:tcPr>
                <w:p>
                  <w:pPr>
                    <w:pStyle w:val="43"/>
                    <w:spacing w:before="24" w:after="24"/>
                    <w:jc w:val="center"/>
                    <w:rPr>
                      <w:rFonts w:hint="default" w:ascii="Times New Roman" w:hAnsi="Times New Roman" w:cs="Times New Roman"/>
                      <w:spacing w:val="-2"/>
                      <w:sz w:val="21"/>
                      <w:szCs w:val="21"/>
                    </w:rPr>
                  </w:pPr>
                </w:p>
              </w:tc>
              <w:tc>
                <w:tcPr>
                  <w:tcW w:w="747"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bCs/>
                      <w:sz w:val="21"/>
                      <w:szCs w:val="21"/>
                      <w:lang w:val="en-US"/>
                    </w:rPr>
                  </w:pPr>
                  <w:r>
                    <w:rPr>
                      <w:rFonts w:hint="eastAsia" w:ascii="Times New Roman" w:hAnsi="Times New Roman" w:eastAsia="宋体" w:cs="Times New Roman"/>
                      <w:i w:val="0"/>
                      <w:color w:val="000000"/>
                      <w:kern w:val="0"/>
                      <w:sz w:val="21"/>
                      <w:szCs w:val="21"/>
                      <w:u w:val="none"/>
                      <w:lang w:val="en-US" w:eastAsia="zh-CN" w:bidi="ar"/>
                    </w:rPr>
                    <w:t>200</w:t>
                  </w:r>
                </w:p>
              </w:tc>
              <w:tc>
                <w:tcPr>
                  <w:tcW w:w="746" w:type="dxa"/>
                  <w:vAlign w:val="center"/>
                </w:tcPr>
                <w:p>
                  <w:pPr>
                    <w:widowControl/>
                    <w:jc w:val="center"/>
                    <w:rPr>
                      <w:rFonts w:hint="default" w:ascii="Times New Roman" w:hAnsi="Times New Roman" w:cs="Times New Roman"/>
                      <w:sz w:val="21"/>
                      <w:szCs w:val="21"/>
                    </w:rPr>
                  </w:pPr>
                  <w:r>
                    <w:rPr>
                      <w:rFonts w:hint="eastAsia" w:ascii="Times New Roman" w:hAnsi="Times New Roman" w:cs="Times New Roman"/>
                      <w:szCs w:val="21"/>
                      <w:lang w:val="en-US" w:eastAsia="zh-CN"/>
                    </w:rPr>
                    <w:t>0.612</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Merge w:val="continue"/>
                  <w:tcBorders>
                    <w:right w:val="single" w:color="auto" w:sz="2" w:space="0"/>
                  </w:tcBorders>
                  <w:vAlign w:val="center"/>
                </w:tcPr>
                <w:p>
                  <w:pPr>
                    <w:spacing w:line="300" w:lineRule="exact"/>
                    <w:jc w:val="center"/>
                    <w:rPr>
                      <w:rFonts w:hint="default" w:ascii="Times New Roman" w:hAnsi="Times New Roman" w:cs="Times New Roman"/>
                      <w:sz w:val="21"/>
                      <w:szCs w:val="21"/>
                    </w:rPr>
                  </w:pPr>
                </w:p>
              </w:tc>
              <w:tc>
                <w:tcPr>
                  <w:tcW w:w="942" w:type="dxa"/>
                  <w:gridSpan w:val="3"/>
                  <w:tcBorders>
                    <w:right w:val="single" w:color="auto" w:sz="2" w:space="0"/>
                  </w:tcBorders>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无组织</w:t>
                  </w:r>
                </w:p>
              </w:tc>
              <w:tc>
                <w:tcPr>
                  <w:tcW w:w="919" w:type="dxa"/>
                  <w:tcMar>
                    <w:left w:w="0" w:type="dxa"/>
                    <w:right w:w="0" w:type="dxa"/>
                  </w:tcMar>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w:t>
                  </w:r>
                </w:p>
              </w:tc>
              <w:tc>
                <w:tcPr>
                  <w:tcW w:w="714" w:type="dxa"/>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颗粒物</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0.685</w:t>
                  </w:r>
                </w:p>
              </w:tc>
              <w:tc>
                <w:tcPr>
                  <w:tcW w:w="1836" w:type="dxa"/>
                  <w:vAlign w:val="center"/>
                </w:tcPr>
                <w:p>
                  <w:pPr>
                    <w:pStyle w:val="43"/>
                    <w:spacing w:before="24" w:after="24"/>
                    <w:jc w:val="center"/>
                    <w:rPr>
                      <w:rFonts w:hint="default" w:ascii="Times New Roman" w:hAnsi="Times New Roman" w:cs="Times New Roman"/>
                      <w:sz w:val="21"/>
                      <w:szCs w:val="21"/>
                    </w:rPr>
                  </w:pPr>
                  <w:r>
                    <w:rPr>
                      <w:rFonts w:hint="default" w:ascii="Times New Roman" w:hAnsi="Times New Roman" w:eastAsia="宋体" w:cs="Times New Roman"/>
                      <w:sz w:val="21"/>
                      <w:szCs w:val="21"/>
                    </w:rPr>
                    <w:t>《大气污染物综合排放标准》（GB16297-1996）表2二级</w:t>
                  </w:r>
                </w:p>
              </w:tc>
              <w:tc>
                <w:tcPr>
                  <w:tcW w:w="747" w:type="dxa"/>
                  <w:tcMar>
                    <w:left w:w="0" w:type="dxa"/>
                    <w:right w:w="0" w:type="dxa"/>
                  </w:tcMar>
                  <w:vAlign w:val="center"/>
                </w:tcPr>
                <w:p>
                  <w:pPr>
                    <w:spacing w:line="30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1</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0.685</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tcBorders>
                    <w:right w:val="single" w:color="auto" w:sz="2" w:space="0"/>
                  </w:tcBorders>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919"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隔声、消声</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Aeq</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2583" w:type="dxa"/>
                  <w:gridSpan w:val="2"/>
                  <w:vAlign w:val="center"/>
                </w:tcPr>
                <w:p>
                  <w:pPr>
                    <w:spacing w:line="300" w:lineRule="exact"/>
                    <w:jc w:val="center"/>
                    <w:rPr>
                      <w:rFonts w:hint="default" w:ascii="Times New Roman" w:hAnsi="Times New Roman" w:cs="Times New Roman"/>
                      <w:spacing w:val="-6"/>
                      <w:sz w:val="21"/>
                      <w:szCs w:val="21"/>
                    </w:rPr>
                  </w:pPr>
                  <w:r>
                    <w:rPr>
                      <w:rFonts w:hint="default" w:ascii="Times New Roman" w:hAnsi="Times New Roman" w:cs="Times New Roman"/>
                      <w:spacing w:val="-6"/>
                      <w:sz w:val="21"/>
                      <w:szCs w:val="21"/>
                    </w:rPr>
                    <w:t>《工业企业厂界环境噪声排放标准》(GB12348-2008)  2类</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gridSpan w:val="4"/>
                  <w:tcBorders>
                    <w:right w:val="single" w:color="auto" w:sz="2"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919" w:type="dxa"/>
                  <w:tcMar>
                    <w:left w:w="0" w:type="dxa"/>
                    <w:right w:w="0"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外售综合利用</w:t>
                  </w:r>
                </w:p>
              </w:tc>
              <w:tc>
                <w:tcPr>
                  <w:tcW w:w="714"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一般固废</w:t>
                  </w:r>
                </w:p>
              </w:tc>
              <w:tc>
                <w:tcPr>
                  <w:tcW w:w="631" w:type="dxa"/>
                  <w:tcMar>
                    <w:left w:w="0" w:type="dxa"/>
                    <w:right w:w="0" w:type="dxa"/>
                  </w:tcMar>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583" w:type="dxa"/>
                  <w:gridSpan w:val="2"/>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无渗漏，零排放，不造成二次污染</w:t>
                  </w:r>
                </w:p>
              </w:tc>
              <w:tc>
                <w:tcPr>
                  <w:tcW w:w="746"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617" w:type="dxa"/>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9、</w:t>
            </w:r>
            <w:r>
              <w:rPr>
                <w:rFonts w:ascii="Times New Roman" w:hAnsi="Times New Roman" w:cs="Times New Roman"/>
                <w:b/>
                <w:sz w:val="24"/>
                <w:szCs w:val="24"/>
              </w:rPr>
              <w:t>社会公开信息</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建成后，应按地方环保局的要求加强对企业的环境管理，建立健全企业的环保监督、管理制度。企业应成立以总经理为组长的环保领导小组，并设专职环保管理及技术人员，负责全厂的环保日常管理工作，监督、处理各种污染物的排放，组织和制定对各种污染物的防治措施与管理制度，保证各种污染物达标排放。</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根据《排污单位自行监测技术指南 总则》（HJ819-2017）的要求，企业可根据自身条件和能力，利用自有人员、场所和设备进行自行监测，可也委托其他有资质的监测机构代开展自行监测，包括污染物排放监测（废气污染物、废水污染物和噪声污染等）、周边环境质量影响监测（周边的空气、地下水、地表水、土壤等）、关键工艺参数监测（通过对与污染物产生和排放密切相关的关键工艺参数进行测试）、污染治理设施处理效果监测。企业应建立自行监测质量管理制度，按照相关技术规范要求做好监测质量保证与质量控制，做好与监测相关的数据记录，按照规定进行保存，并依据《企业事业单位环境信息公开办法》（环境保护部令 第31号）等规定向社会公开监测结果。</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根据《企业事业单位环境信息公开办法》（环境保护部令 第31号）规定，企业可参照重点排污单位公开其信息：</w:t>
            </w:r>
          </w:p>
          <w:p>
            <w:pPr>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（一）基础信息，包括单位名称、组织机构代码、法定代表人、生产地址、联系方式，以及生产经营和管理服务的主要内容、产品及规模；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（二）排污信息，包括主要污染物及特征污染物的名称、排放方式、排放口数量和分布情况、排放浓度和总量、超标情况，以及执行的污染物排放标准、核定的排放总量；</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（三）防治污染设施的建设和运行情况；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（四）建设项目环境影响评价及其他环境保护行政许可情况；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（五）突发环境事件应急预案；</w:t>
            </w:r>
          </w:p>
          <w:p>
            <w:pPr>
              <w:pStyle w:val="2"/>
              <w:spacing w:line="500" w:lineRule="exact"/>
              <w:ind w:firstLine="480" w:firstLineChars="200"/>
              <w:rPr>
                <w:rFonts w:ascii="Times New Roman" w:hAnsi="Times New Roman" w:cs="Times New Roman"/>
                <w:b w:val="0"/>
                <w:sz w:val="24"/>
                <w:szCs w:val="24"/>
              </w:rPr>
            </w:pPr>
            <w:r>
              <w:rPr>
                <w:rFonts w:ascii="Times New Roman" w:hAnsi="Times New Roman" w:cs="Times New Roman"/>
                <w:b w:val="0"/>
                <w:sz w:val="24"/>
                <w:szCs w:val="24"/>
              </w:rPr>
              <w:t>（六）其他应当公开的环境信息。</w:t>
            </w:r>
          </w:p>
        </w:tc>
      </w:tr>
    </w:tbl>
    <w:p>
      <w:pPr>
        <w:rPr>
          <w:rFonts w:ascii="Times New Roman" w:hAnsi="Times New Roman" w:eastAsia="宋体" w:cs="Times New Roman"/>
          <w:b/>
          <w:color w:val="auto"/>
          <w:sz w:val="24"/>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建设项目拟采取的防治措施及预期治理效果</w:t>
      </w:r>
    </w:p>
    <w:tbl>
      <w:tblPr>
        <w:tblStyle w:val="15"/>
        <w:tblW w:w="8774"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78"/>
        <w:gridCol w:w="620"/>
        <w:gridCol w:w="621"/>
        <w:gridCol w:w="1701"/>
        <w:gridCol w:w="1417"/>
        <w:gridCol w:w="34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tcPr>
          <w:p>
            <w:pPr>
              <w:spacing w:line="24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内容</w:t>
            </w:r>
          </w:p>
          <w:p>
            <w:pPr>
              <w:spacing w:line="24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类型</w:t>
            </w:r>
          </w:p>
        </w:tc>
        <w:tc>
          <w:tcPr>
            <w:tcW w:w="1241" w:type="dxa"/>
            <w:gridSpan w:val="2"/>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排放源</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（编号）</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污染物</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名称</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防治措施</w:t>
            </w:r>
          </w:p>
        </w:tc>
        <w:tc>
          <w:tcPr>
            <w:tcW w:w="343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预期治理</w:t>
            </w:r>
          </w:p>
          <w:p>
            <w:pPr>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效果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restart"/>
            <w:tcBorders>
              <w:top w:val="single" w:color="000000" w:sz="12" w:space="0"/>
              <w:left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大气污染物</w:t>
            </w:r>
          </w:p>
        </w:tc>
        <w:tc>
          <w:tcPr>
            <w:tcW w:w="620" w:type="dxa"/>
            <w:tcBorders>
              <w:top w:val="single" w:color="000000" w:sz="12" w:space="0"/>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有组织</w:t>
            </w:r>
          </w:p>
        </w:tc>
        <w:tc>
          <w:tcPr>
            <w:tcW w:w="62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#排气筒</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颗粒物、NO</w:t>
            </w:r>
            <w:r>
              <w:rPr>
                <w:rFonts w:hint="eastAsia" w:ascii="Times New Roman" w:hAnsi="Times New Roman" w:eastAsia="宋体" w:cs="Times New Roman"/>
                <w:color w:val="auto"/>
                <w:sz w:val="21"/>
                <w:szCs w:val="21"/>
                <w:vertAlign w:val="subscript"/>
                <w:lang w:val="en-US" w:eastAsia="zh-CN"/>
              </w:rPr>
              <w:t>X</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cs="Times New Roman"/>
                <w:sz w:val="21"/>
                <w:szCs w:val="21"/>
              </w:rPr>
              <w:t>经水膜除尘处理后经20m高的1#排气筒排放</w:t>
            </w:r>
          </w:p>
        </w:tc>
        <w:tc>
          <w:tcPr>
            <w:tcW w:w="3437" w:type="dxa"/>
            <w:vMerge w:val="restart"/>
            <w:tcBorders>
              <w:top w:val="single" w:color="000000" w:sz="12" w:space="0"/>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达标排放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vMerge w:val="continue"/>
            <w:tcBorders>
              <w:left w:val="single" w:color="000000" w:sz="12" w:space="0"/>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bidi="ar"/>
              </w:rPr>
            </w:pPr>
          </w:p>
        </w:tc>
        <w:tc>
          <w:tcPr>
            <w:tcW w:w="620"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无组织</w:t>
            </w:r>
          </w:p>
        </w:tc>
        <w:tc>
          <w:tcPr>
            <w:tcW w:w="621"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生产车间</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颗粒物</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制粒和冷却工段新增颗粒物依托已有的布袋除尘装置处理后在车间内无组织排放</w:t>
            </w:r>
          </w:p>
        </w:tc>
        <w:tc>
          <w:tcPr>
            <w:tcW w:w="3437" w:type="dxa"/>
            <w:vMerge w:val="continue"/>
            <w:tcBorders>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0" w:hRule="atLeast"/>
          <w:jc w:val="center"/>
        </w:trPr>
        <w:tc>
          <w:tcPr>
            <w:tcW w:w="978" w:type="dxa"/>
            <w:tcBorders>
              <w:top w:val="nil"/>
              <w:left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固</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体</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废</w:t>
            </w:r>
          </w:p>
          <w:p>
            <w:pPr>
              <w:spacing w:line="240" w:lineRule="auto"/>
              <w:jc w:val="center"/>
              <w:rPr>
                <w:rFonts w:hint="default" w:ascii="Times New Roman" w:hAnsi="Times New Roman" w:cs="Times New Roman"/>
              </w:rPr>
            </w:pPr>
            <w:r>
              <w:rPr>
                <w:rFonts w:hint="default" w:ascii="Times New Roman" w:hAnsi="Times New Roman" w:eastAsia="宋体" w:cs="Times New Roman"/>
                <w:color w:val="auto"/>
                <w:sz w:val="21"/>
                <w:szCs w:val="21"/>
                <w:lang w:bidi="ar"/>
              </w:rPr>
              <w:t>物</w:t>
            </w:r>
          </w:p>
        </w:tc>
        <w:tc>
          <w:tcPr>
            <w:tcW w:w="1241" w:type="dxa"/>
            <w:gridSpan w:val="2"/>
            <w:tcBorders>
              <w:top w:val="single" w:color="000000" w:sz="12" w:space="0"/>
              <w:left w:val="nil"/>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cs="Times New Roman"/>
              </w:rPr>
            </w:pPr>
            <w:r>
              <w:rPr>
                <w:rFonts w:hint="default" w:ascii="Times New Roman" w:hAnsi="Times New Roman" w:eastAsia="宋体" w:cs="Times New Roman"/>
                <w:color w:val="auto"/>
                <w:kern w:val="0"/>
                <w:sz w:val="21"/>
                <w:szCs w:val="21"/>
                <w:lang w:bidi="ar"/>
              </w:rPr>
              <w:t>一般工业固废</w:t>
            </w:r>
          </w:p>
        </w:tc>
        <w:tc>
          <w:tcPr>
            <w:tcW w:w="1701" w:type="dxa"/>
            <w:tcBorders>
              <w:top w:val="single" w:color="000000" w:sz="12" w:space="0"/>
              <w:left w:val="nil"/>
              <w:bottom w:val="single" w:color="000000" w:sz="12" w:space="0"/>
              <w:right w:val="single" w:color="000000" w:sz="12" w:space="0"/>
            </w:tcBorders>
            <w:shd w:val="clear" w:color="auto" w:fill="auto"/>
            <w:vAlign w:val="center"/>
          </w:tcPr>
          <w:p>
            <w:pPr>
              <w:pStyle w:val="23"/>
              <w:widowControl/>
              <w:spacing w:line="240" w:lineRule="auto"/>
              <w:rPr>
                <w:rFonts w:hint="default" w:ascii="Times New Roman" w:hAnsi="Times New Roman" w:cs="Times New Roman"/>
                <w:color w:val="auto"/>
                <w:sz w:val="21"/>
                <w:szCs w:val="21"/>
              </w:rPr>
            </w:pPr>
            <w:r>
              <w:rPr>
                <w:rFonts w:hint="eastAsia" w:ascii="Times New Roman" w:hAnsi="Times New Roman" w:eastAsia="宋体" w:cs="Times New Roman"/>
                <w:color w:val="auto"/>
                <w:sz w:val="21"/>
                <w:szCs w:val="21"/>
                <w:lang w:val="en-US" w:eastAsia="zh-CN" w:bidi="ar"/>
              </w:rPr>
              <w:t>水膜除尘收集的粉尘</w:t>
            </w:r>
          </w:p>
        </w:tc>
        <w:tc>
          <w:tcPr>
            <w:tcW w:w="1417" w:type="dxa"/>
            <w:tcBorders>
              <w:top w:val="single" w:color="000000" w:sz="12" w:space="0"/>
              <w:left w:val="nil"/>
              <w:bottom w:val="single" w:color="000000" w:sz="12" w:space="0"/>
              <w:right w:val="single" w:color="000000" w:sz="12"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委外综合利用</w:t>
            </w:r>
          </w:p>
        </w:tc>
        <w:tc>
          <w:tcPr>
            <w:tcW w:w="3437" w:type="dxa"/>
            <w:tcBorders>
              <w:top w:val="nil"/>
              <w:left w:val="nil"/>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零排放，处置率100%，维护良好的内部环境和城市环境卫生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3" w:hRule="atLeast"/>
          <w:jc w:val="center"/>
        </w:trPr>
        <w:tc>
          <w:tcPr>
            <w:tcW w:w="97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噪</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声</w:t>
            </w:r>
          </w:p>
        </w:tc>
        <w:tc>
          <w:tcPr>
            <w:tcW w:w="7796" w:type="dxa"/>
            <w:gridSpan w:val="5"/>
            <w:tcBorders>
              <w:top w:val="single" w:color="000000" w:sz="12" w:space="0"/>
              <w:left w:val="nil"/>
              <w:bottom w:val="single" w:color="000000" w:sz="12" w:space="0"/>
              <w:right w:val="single" w:color="000000" w:sz="12" w:space="0"/>
            </w:tcBorders>
            <w:shd w:val="clear" w:color="auto" w:fill="auto"/>
            <w:vAlign w:val="center"/>
          </w:tcPr>
          <w:p>
            <w:pPr>
              <w:pStyle w:val="29"/>
              <w:widowControl/>
              <w:spacing w:line="240" w:lineRule="auto"/>
              <w:ind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本项目在生产过程中主要噪声源为烘干机、热风炉、风机等设备。通过噪声源经墙体隔声和距离衰减后，项目各厂界昼间噪声能达到《工业企业厂界环境噪声排放标准》（GB12348-2008）中2 类标准。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340" w:hRule="atLeast"/>
          <w:jc w:val="center"/>
        </w:trPr>
        <w:tc>
          <w:tcPr>
            <w:tcW w:w="8774" w:type="dxa"/>
            <w:gridSpan w:val="6"/>
            <w:tcBorders>
              <w:top w:val="single" w:color="000000" w:sz="12" w:space="0"/>
              <w:left w:val="single" w:color="000000" w:sz="12" w:space="0"/>
              <w:bottom w:val="single" w:color="000000" w:sz="12" w:space="0"/>
              <w:right w:val="single" w:color="000000" w:sz="12" w:space="0"/>
            </w:tcBorders>
            <w:shd w:val="clear" w:color="auto" w:fill="auto"/>
          </w:tcPr>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bidi="ar"/>
              </w:rPr>
              <w:t>生态保护措施及预期效果：</w:t>
            </w:r>
          </w:p>
          <w:p>
            <w:pPr>
              <w:spacing w:line="360" w:lineRule="auto"/>
              <w:rPr>
                <w:rFonts w:hint="default" w:ascii="Times New Roman" w:hAnsi="Times New Roman" w:eastAsia="宋体" w:cs="Times New Roman"/>
                <w:b/>
                <w:color w:val="auto"/>
                <w:sz w:val="24"/>
              </w:rPr>
            </w:pPr>
          </w:p>
          <w:p>
            <w:pPr>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w:t>
            </w:r>
          </w:p>
          <w:p>
            <w:pPr>
              <w:spacing w:line="360" w:lineRule="auto"/>
              <w:rPr>
                <w:rFonts w:hint="default" w:ascii="Times New Roman" w:hAnsi="Times New Roman" w:eastAsia="宋体" w:cs="Times New Roman"/>
                <w:color w:val="auto"/>
                <w:sz w:val="24"/>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环保措施</w:t>
      </w:r>
      <w:r>
        <w:rPr>
          <w:rFonts w:ascii="Times New Roman" w:hAnsi="Times New Roman" w:eastAsia="宋体" w:cs="Times New Roman"/>
          <w:b/>
          <w:color w:val="auto"/>
          <w:sz w:val="30"/>
          <w:szCs w:val="30"/>
          <w:lang w:bidi="ar"/>
        </w:rPr>
        <w:t>“</w:t>
      </w:r>
      <w:r>
        <w:rPr>
          <w:rFonts w:hint="eastAsia" w:ascii="宋体" w:hAnsi="宋体" w:eastAsia="宋体" w:cs="宋体"/>
          <w:b/>
          <w:color w:val="auto"/>
          <w:sz w:val="30"/>
          <w:szCs w:val="30"/>
          <w:lang w:bidi="ar"/>
        </w:rPr>
        <w:t>三同时</w:t>
      </w:r>
      <w:r>
        <w:rPr>
          <w:rFonts w:ascii="Times New Roman" w:hAnsi="Times New Roman" w:eastAsia="宋体" w:cs="Times New Roman"/>
          <w:b/>
          <w:color w:val="auto"/>
          <w:sz w:val="30"/>
          <w:szCs w:val="30"/>
          <w:lang w:bidi="ar"/>
        </w:rPr>
        <w:t>”</w:t>
      </w:r>
      <w:r>
        <w:rPr>
          <w:rFonts w:hint="eastAsia" w:ascii="宋体" w:hAnsi="宋体" w:eastAsia="宋体" w:cs="宋体"/>
          <w:b/>
          <w:color w:val="auto"/>
          <w:sz w:val="30"/>
          <w:szCs w:val="30"/>
          <w:lang w:bidi="ar"/>
        </w:rPr>
        <w:t>验收情况</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根据《中华人民共和国环境保护法》规定，建设项目的污染治理设施必须与主体工程“</w:t>
            </w:r>
            <w:r>
              <w:rPr>
                <w:rFonts w:hint="eastAsia" w:ascii="宋体" w:hAnsi="宋体" w:eastAsia="宋体" w:cs="宋体"/>
                <w:color w:val="auto"/>
                <w:sz w:val="24"/>
                <w:lang w:bidi="ar"/>
              </w:rPr>
              <w:t>同时设计、同时施工、同时投入运行</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，而污染防治设施建设</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三同时</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验收是严格控制新污染源和污染物排放总量、遏制环境恶化趋势的有力措施。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本项目总投资</w:t>
            </w:r>
            <w:r>
              <w:rPr>
                <w:rFonts w:hint="eastAsia" w:ascii="Times New Roman" w:hAnsi="Times New Roman" w:eastAsia="宋体" w:cs="Times New Roman"/>
                <w:color w:val="auto"/>
                <w:sz w:val="24"/>
                <w:lang w:val="en-US" w:eastAsia="zh-CN" w:bidi="ar"/>
              </w:rPr>
              <w:t>800</w:t>
            </w:r>
            <w:r>
              <w:rPr>
                <w:rFonts w:ascii="Times New Roman" w:hAnsi="Times New Roman" w:eastAsia="宋体" w:cs="Times New Roman"/>
                <w:color w:val="auto"/>
                <w:sz w:val="24"/>
                <w:lang w:bidi="ar"/>
              </w:rPr>
              <w:t>万元，其中环保投资为</w:t>
            </w:r>
            <w:r>
              <w:rPr>
                <w:rFonts w:hint="eastAsia" w:ascii="Times New Roman" w:hAnsi="Times New Roman" w:eastAsia="宋体" w:cs="Times New Roman"/>
                <w:color w:val="auto"/>
                <w:sz w:val="24"/>
                <w:lang w:val="en-US" w:eastAsia="zh-CN" w:bidi="ar"/>
              </w:rPr>
              <w:t>10</w:t>
            </w:r>
            <w:r>
              <w:rPr>
                <w:rFonts w:ascii="Times New Roman" w:hAnsi="Times New Roman" w:eastAsia="宋体" w:cs="Times New Roman"/>
                <w:color w:val="auto"/>
                <w:sz w:val="24"/>
                <w:lang w:bidi="ar"/>
              </w:rPr>
              <w:t>万元，占总投资额的</w:t>
            </w:r>
            <w:r>
              <w:rPr>
                <w:rFonts w:hint="eastAsia" w:ascii="Times New Roman" w:hAnsi="Times New Roman" w:eastAsia="宋体" w:cs="Times New Roman"/>
                <w:color w:val="auto"/>
                <w:sz w:val="24"/>
                <w:lang w:val="en-US" w:eastAsia="zh-CN" w:bidi="ar"/>
              </w:rPr>
              <w:t>1.25</w:t>
            </w:r>
            <w:r>
              <w:rPr>
                <w:rFonts w:ascii="Times New Roman" w:hAnsi="Times New Roman" w:eastAsia="宋体" w:cs="Times New Roman"/>
                <w:color w:val="auto"/>
                <w:sz w:val="24"/>
                <w:lang w:bidi="ar"/>
              </w:rPr>
              <w:t>％，建设项目竣工环境保护验收一览见表9-1</w:t>
            </w:r>
            <w:r>
              <w:rPr>
                <w:rFonts w:hint="eastAsia" w:ascii="宋体" w:hAnsi="宋体" w:eastAsia="宋体" w:cs="宋体"/>
                <w:color w:val="auto"/>
                <w:sz w:val="24"/>
                <w:lang w:bidi="ar"/>
              </w:rPr>
              <w:t>。</w:t>
            </w:r>
          </w:p>
          <w:p>
            <w:pPr>
              <w:pStyle w:val="26"/>
              <w:widowControl/>
              <w:rPr>
                <w:color w:val="auto"/>
              </w:rPr>
            </w:pPr>
            <w:r>
              <w:rPr>
                <w:color w:val="auto"/>
              </w:rPr>
              <w:t>表9-1建设项目环保“</w:t>
            </w:r>
            <w:r>
              <w:rPr>
                <w:rFonts w:hint="eastAsia" w:ascii="宋体" w:hAnsi="宋体" w:cs="宋体"/>
                <w:color w:val="auto"/>
              </w:rPr>
              <w:t>三同时</w:t>
            </w:r>
            <w:r>
              <w:rPr>
                <w:color w:val="auto"/>
              </w:rPr>
              <w:t>”</w:t>
            </w:r>
            <w:r>
              <w:rPr>
                <w:rFonts w:hint="eastAsia" w:ascii="宋体" w:hAnsi="宋体" w:cs="宋体"/>
                <w:color w:val="auto"/>
              </w:rPr>
              <w:t>检查一览表</w:t>
            </w:r>
          </w:p>
          <w:tbl>
            <w:tblPr>
              <w:tblStyle w:val="16"/>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52"/>
              <w:gridCol w:w="853"/>
              <w:gridCol w:w="1421"/>
              <w:gridCol w:w="2274"/>
              <w:gridCol w:w="113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类别</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污染源</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污染物</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治理措施</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效果</w:t>
                  </w:r>
                </w:p>
              </w:tc>
              <w:tc>
                <w:tcPr>
                  <w:tcW w:w="667"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b/>
                      <w:color w:val="auto"/>
                    </w:rPr>
                  </w:pPr>
                  <w:r>
                    <w:rPr>
                      <w:rFonts w:hint="default" w:ascii="Times New Roman" w:hAnsi="Times New Roman" w:cs="Times New Roman"/>
                      <w:b/>
                      <w:color w:val="auto"/>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tcBorders>
                    <w:top w:val="single" w:color="auto" w:sz="4" w:space="0"/>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废气</w:t>
                  </w:r>
                </w:p>
              </w:tc>
              <w:tc>
                <w:tcPr>
                  <w:tcW w:w="852" w:type="dxa"/>
                  <w:tcBorders>
                    <w:top w:val="single" w:color="auto" w:sz="4" w:space="0"/>
                    <w:left w:val="nil"/>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 w:val="21"/>
                      <w:szCs w:val="21"/>
                      <w:lang w:val="en-US" w:eastAsia="zh-CN"/>
                    </w:rPr>
                    <w:t>有组织</w:t>
                  </w:r>
                </w:p>
              </w:tc>
              <w:tc>
                <w:tcPr>
                  <w:tcW w:w="85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#排气筒</w:t>
                  </w:r>
                </w:p>
              </w:tc>
              <w:tc>
                <w:tcPr>
                  <w:tcW w:w="142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颗粒物、NO</w:t>
                  </w:r>
                  <w:r>
                    <w:rPr>
                      <w:rFonts w:hint="eastAsia" w:ascii="Times New Roman" w:hAnsi="Times New Roman" w:eastAsia="宋体" w:cs="Times New Roman"/>
                      <w:color w:val="auto"/>
                      <w:sz w:val="21"/>
                      <w:szCs w:val="21"/>
                      <w:vertAlign w:val="subscript"/>
                      <w:lang w:val="en-US" w:eastAsia="zh-CN"/>
                    </w:rPr>
                    <w:t>X</w:t>
                  </w:r>
                </w:p>
              </w:tc>
              <w:tc>
                <w:tcPr>
                  <w:tcW w:w="227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auto"/>
                      <w:szCs w:val="21"/>
                    </w:rPr>
                  </w:pPr>
                  <w:r>
                    <w:rPr>
                      <w:rFonts w:hint="default" w:ascii="Times New Roman" w:hAnsi="Times New Roman" w:cs="Times New Roman"/>
                      <w:sz w:val="21"/>
                      <w:szCs w:val="21"/>
                    </w:rPr>
                    <w:t>经水膜除尘处理后经20m高的1#排气筒排放</w:t>
                  </w:r>
                </w:p>
              </w:tc>
              <w:tc>
                <w:tcPr>
                  <w:tcW w:w="1136" w:type="dxa"/>
                  <w:vMerge w:val="restart"/>
                  <w:tcBorders>
                    <w:top w:val="single" w:color="auto" w:sz="4" w:space="0"/>
                    <w:left w:val="nil"/>
                    <w:right w:val="single" w:color="auto" w:sz="4" w:space="0"/>
                  </w:tcBorders>
                  <w:shd w:val="clear" w:color="auto" w:fill="auto"/>
                  <w:vAlign w:val="center"/>
                </w:tcPr>
                <w:p>
                  <w:pPr>
                    <w:pStyle w:val="23"/>
                    <w:widowControl/>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达标排放</w:t>
                  </w:r>
                </w:p>
              </w:tc>
              <w:tc>
                <w:tcPr>
                  <w:tcW w:w="667" w:type="dxa"/>
                  <w:vMerge w:val="restart"/>
                  <w:tcBorders>
                    <w:top w:val="nil"/>
                    <w:left w:val="nil"/>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Borders>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85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val="en-US" w:eastAsia="zh-CN" w:bidi="ar"/>
                    </w:rPr>
                  </w:pPr>
                  <w:r>
                    <w:rPr>
                      <w:rFonts w:hint="default" w:ascii="Times New Roman" w:hAnsi="Times New Roman" w:eastAsia="宋体" w:cs="Times New Roman"/>
                      <w:color w:val="auto"/>
                      <w:sz w:val="21"/>
                      <w:szCs w:val="21"/>
                      <w:lang w:val="en-US" w:eastAsia="zh-CN" w:bidi="ar"/>
                    </w:rPr>
                    <w:t>无组织</w:t>
                  </w:r>
                </w:p>
              </w:tc>
              <w:tc>
                <w:tcPr>
                  <w:tcW w:w="85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 w:val="21"/>
                      <w:szCs w:val="21"/>
                      <w:lang w:val="en-US" w:eastAsia="zh-CN" w:bidi="ar"/>
                    </w:rPr>
                    <w:t>生产车间</w:t>
                  </w:r>
                </w:p>
              </w:tc>
              <w:tc>
                <w:tcPr>
                  <w:tcW w:w="142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 w:val="21"/>
                      <w:szCs w:val="21"/>
                      <w:lang w:val="en-US" w:eastAsia="zh-CN" w:bidi="ar"/>
                    </w:rPr>
                    <w:t>颗粒物</w:t>
                  </w:r>
                </w:p>
              </w:tc>
              <w:tc>
                <w:tcPr>
                  <w:tcW w:w="227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lang w:val="en-US" w:bidi="ar"/>
                    </w:rPr>
                  </w:pPr>
                  <w:r>
                    <w:rPr>
                      <w:rFonts w:hint="default" w:ascii="Times New Roman" w:hAnsi="Times New Roman" w:eastAsia="宋体" w:cs="Times New Roman"/>
                      <w:color w:val="auto"/>
                      <w:sz w:val="21"/>
                      <w:szCs w:val="21"/>
                      <w:lang w:val="en-US" w:eastAsia="zh-CN" w:bidi="ar"/>
                    </w:rPr>
                    <w:t>制粒和冷却工段新增颗粒物依托已有的布袋除尘装置处理后在车间内无组织排放</w:t>
                  </w:r>
                </w:p>
              </w:tc>
              <w:tc>
                <w:tcPr>
                  <w:tcW w:w="1136" w:type="dxa"/>
                  <w:vMerge w:val="continue"/>
                  <w:tcBorders>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噪声</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设备噪声</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噪声</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合理布局、隔声、减振措施、距离衰减等</w:t>
                  </w:r>
                </w:p>
              </w:tc>
              <w:tc>
                <w:tcPr>
                  <w:tcW w:w="1136" w:type="dxa"/>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厂界达标</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nil"/>
                    <w:left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固</w:t>
                  </w:r>
                </w:p>
                <w:p>
                  <w:pPr>
                    <w:pStyle w:val="23"/>
                    <w:widowControl/>
                    <w:rPr>
                      <w:rFonts w:hint="default" w:ascii="Times New Roman" w:hAnsi="Times New Roman" w:cs="Times New Roman"/>
                      <w:color w:val="auto"/>
                    </w:rPr>
                  </w:pPr>
                  <w:r>
                    <w:rPr>
                      <w:rFonts w:hint="default" w:ascii="Times New Roman" w:hAnsi="Times New Roman" w:cs="Times New Roman"/>
                      <w:color w:val="auto"/>
                    </w:rPr>
                    <w:t>体</w:t>
                  </w:r>
                </w:p>
                <w:p>
                  <w:pPr>
                    <w:pStyle w:val="23"/>
                    <w:widowControl/>
                    <w:rPr>
                      <w:rFonts w:hint="default" w:ascii="Times New Roman" w:hAnsi="Times New Roman" w:cs="Times New Roman"/>
                      <w:color w:val="auto"/>
                    </w:rPr>
                  </w:pPr>
                  <w:r>
                    <w:rPr>
                      <w:rFonts w:hint="default" w:ascii="Times New Roman" w:hAnsi="Times New Roman" w:cs="Times New Roman"/>
                      <w:color w:val="auto"/>
                    </w:rPr>
                    <w:t>废</w:t>
                  </w:r>
                </w:p>
                <w:p>
                  <w:pPr>
                    <w:pStyle w:val="23"/>
                    <w:widowControl/>
                    <w:rPr>
                      <w:rFonts w:hint="default" w:ascii="Times New Roman" w:hAnsi="Times New Roman" w:cs="Times New Roman"/>
                      <w:color w:val="auto"/>
                    </w:rPr>
                  </w:pPr>
                  <w:r>
                    <w:rPr>
                      <w:rFonts w:hint="default" w:ascii="Times New Roman" w:hAnsi="Times New Roman" w:cs="Times New Roman"/>
                      <w:color w:val="auto"/>
                    </w:rPr>
                    <w:t>物</w:t>
                  </w:r>
                </w:p>
              </w:tc>
              <w:tc>
                <w:tcPr>
                  <w:tcW w:w="170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 w:val="21"/>
                      <w:szCs w:val="21"/>
                      <w:lang w:bidi="ar"/>
                    </w:rPr>
                    <w:t>一般工业固废</w:t>
                  </w:r>
                </w:p>
              </w:tc>
              <w:tc>
                <w:tcPr>
                  <w:tcW w:w="1421" w:type="dxa"/>
                  <w:tcBorders>
                    <w:top w:val="single" w:color="auto" w:sz="4" w:space="0"/>
                    <w:left w:val="nil"/>
                    <w:bottom w:val="single" w:color="auto" w:sz="4" w:space="0"/>
                    <w:right w:val="single" w:color="auto" w:sz="4" w:space="0"/>
                  </w:tcBorders>
                  <w:shd w:val="clear" w:color="auto" w:fill="auto"/>
                  <w:vAlign w:val="center"/>
                </w:tcPr>
                <w:p>
                  <w:pPr>
                    <w:pStyle w:val="23"/>
                    <w:widowControl/>
                    <w:spacing w:line="240" w:lineRule="auto"/>
                    <w:rPr>
                      <w:rFonts w:hint="default" w:ascii="Times New Roman" w:hAnsi="Times New Roman" w:cs="Times New Roman"/>
                      <w:color w:val="auto"/>
                    </w:rPr>
                  </w:pPr>
                  <w:r>
                    <w:rPr>
                      <w:rFonts w:hint="eastAsia" w:ascii="Times New Roman" w:hAnsi="Times New Roman" w:eastAsia="宋体" w:cs="Times New Roman"/>
                      <w:color w:val="auto"/>
                      <w:sz w:val="21"/>
                      <w:szCs w:val="21"/>
                      <w:lang w:val="en-US" w:eastAsia="zh-CN" w:bidi="ar"/>
                    </w:rPr>
                    <w:t>水膜除尘收集的粉尘</w:t>
                  </w:r>
                </w:p>
              </w:tc>
              <w:tc>
                <w:tcPr>
                  <w:tcW w:w="227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 w:val="21"/>
                      <w:szCs w:val="21"/>
                      <w:lang w:bidi="ar"/>
                    </w:rPr>
                    <w:t>委外综合利用</w:t>
                  </w:r>
                </w:p>
              </w:tc>
              <w:tc>
                <w:tcPr>
                  <w:tcW w:w="1136" w:type="dxa"/>
                  <w:tcBorders>
                    <w:top w:val="nil"/>
                    <w:left w:val="nil"/>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零排放，处置率100%</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绿化</w:t>
                  </w:r>
                </w:p>
              </w:tc>
              <w:tc>
                <w:tcPr>
                  <w:tcW w:w="6536"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排污口规范化设置</w:t>
                  </w:r>
                </w:p>
              </w:tc>
              <w:tc>
                <w:tcPr>
                  <w:tcW w:w="6536" w:type="dxa"/>
                  <w:gridSpan w:val="5"/>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规范排污口，设置相应的环境保护图形标志</w:t>
                  </w:r>
                </w:p>
              </w:tc>
              <w:tc>
                <w:tcPr>
                  <w:tcW w:w="6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总量平衡方案</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spacing w:line="36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根据《常州市建设项目主要污染物排放总量指标审核及管理实施细则》（常政办发[2015]104号）：“建设项目主要污染物排放总量指标按工程减排类项目2倍削减量替代或关闭类项目1.5倍削减量替代。”本项目建成后有组织排放的大气污染物：</w:t>
                  </w:r>
                  <w:r>
                    <w:rPr>
                      <w:rFonts w:hint="default" w:ascii="Times New Roman" w:hAnsi="Times New Roman" w:eastAsia="宋体" w:cs="Times New Roman"/>
                      <w:color w:val="auto"/>
                      <w:sz w:val="21"/>
                      <w:szCs w:val="21"/>
                      <w:lang w:val="en-US" w:eastAsia="zh-CN"/>
                    </w:rPr>
                    <w:t>颗粒物</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0.015</w:t>
                  </w:r>
                  <w:r>
                    <w:rPr>
                      <w:rFonts w:hint="default" w:ascii="Times New Roman" w:hAnsi="Times New Roman" w:eastAsia="宋体" w:cs="Times New Roman"/>
                      <w:color w:val="auto"/>
                      <w:sz w:val="21"/>
                      <w:szCs w:val="21"/>
                    </w:rPr>
                    <w:t>t/a</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NO</w:t>
                  </w:r>
                  <w:r>
                    <w:rPr>
                      <w:rFonts w:hint="default" w:ascii="Times New Roman" w:hAnsi="Times New Roman" w:eastAsia="宋体" w:cs="Times New Roman"/>
                      <w:color w:val="auto"/>
                      <w:sz w:val="21"/>
                      <w:szCs w:val="21"/>
                      <w:vertAlign w:val="subscript"/>
                      <w:lang w:val="en-US" w:eastAsia="zh-CN"/>
                    </w:rPr>
                    <w:t>X</w:t>
                  </w:r>
                  <w:r>
                    <w:rPr>
                      <w:rFonts w:hint="default" w:ascii="Times New Roman" w:hAnsi="Times New Roman" w:eastAsia="宋体" w:cs="Times New Roman"/>
                      <w:color w:val="auto"/>
                      <w:sz w:val="21"/>
                      <w:szCs w:val="21"/>
                      <w:lang w:val="en-US" w:eastAsia="zh-CN"/>
                    </w:rPr>
                    <w:t xml:space="preserve"> 0.612t/a</w:t>
                  </w:r>
                  <w:r>
                    <w:rPr>
                      <w:rFonts w:hint="default" w:ascii="Times New Roman" w:hAnsi="Times New Roman" w:eastAsia="宋体" w:cs="Times New Roman"/>
                      <w:color w:val="auto"/>
                      <w:sz w:val="21"/>
                      <w:szCs w:val="21"/>
                    </w:rPr>
                    <w:t>需申请总量</w:t>
                  </w:r>
                  <w:r>
                    <w:rPr>
                      <w:rFonts w:hint="default" w:ascii="Times New Roman" w:hAnsi="Times New Roman" w:eastAsia="宋体" w:cs="Times New Roman"/>
                      <w:color w:val="auto"/>
                      <w:sz w:val="21"/>
                      <w:szCs w:val="21"/>
                      <w:lang w:val="en-US" w:eastAsia="zh-CN"/>
                    </w:rPr>
                    <w:t>，需在武进区内实现区域平衡</w:t>
                  </w:r>
                  <w:r>
                    <w:rPr>
                      <w:rFonts w:hint="default" w:ascii="Times New Roman" w:hAnsi="Times New Roman" w:eastAsia="宋体" w:cs="Times New Roman"/>
                      <w:color w:val="auto"/>
                      <w:sz w:val="21"/>
                      <w:szCs w:val="21"/>
                    </w:rPr>
                    <w:t>。</w:t>
                  </w:r>
                </w:p>
                <w:p>
                  <w:pPr>
                    <w:spacing w:line="360"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rPr>
                    <w:t>固废：本项目产生的固废均进行合理处理，实行固体废弃物零排放，不单独申请总量。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区域解决问题</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卫生防护距离</w:t>
                  </w:r>
                </w:p>
              </w:tc>
              <w:tc>
                <w:tcPr>
                  <w:tcW w:w="7203" w:type="dxa"/>
                  <w:gridSpan w:val="6"/>
                  <w:tcBorders>
                    <w:top w:val="single" w:color="auto" w:sz="4" w:space="0"/>
                    <w:left w:val="nil"/>
                    <w:bottom w:val="single" w:color="auto" w:sz="4" w:space="0"/>
                    <w:right w:val="single" w:color="auto" w:sz="4" w:space="0"/>
                  </w:tcBorders>
                  <w:shd w:val="clear" w:color="auto" w:fill="auto"/>
                  <w:vAlign w:val="center"/>
                </w:tcPr>
                <w:p>
                  <w:pPr>
                    <w:pStyle w:val="23"/>
                    <w:widowControl/>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卫生</w:t>
                  </w:r>
                  <w:r>
                    <w:rPr>
                      <w:rFonts w:hint="default" w:ascii="Times New Roman" w:hAnsi="Times New Roman" w:cs="Times New Roman"/>
                      <w:color w:val="auto"/>
                    </w:rPr>
                    <w:t>防护距离为以生产车间外扩</w:t>
                  </w:r>
                  <w:r>
                    <w:rPr>
                      <w:rFonts w:hint="eastAsia" w:cs="Times New Roman"/>
                      <w:color w:val="auto"/>
                      <w:lang w:val="en-US" w:eastAsia="zh-CN"/>
                    </w:rPr>
                    <w:t>5</w:t>
                  </w:r>
                  <w:r>
                    <w:rPr>
                      <w:rFonts w:hint="default" w:ascii="Times New Roman" w:hAnsi="Times New Roman" w:cs="Times New Roman"/>
                      <w:color w:val="auto"/>
                    </w:rPr>
                    <w:t>0米形成的包络线，该卫生防护距离包络线范围内无敏感保护目标，以后也不得在卫生防护距离内建设居住区等环境敏感目标，以避免环境纠纷。</w:t>
                  </w:r>
                </w:p>
              </w:tc>
            </w:tr>
          </w:tbl>
          <w:p>
            <w:pPr>
              <w:spacing w:line="360" w:lineRule="auto"/>
              <w:rPr>
                <w:rFonts w:ascii="Times New Roman" w:hAnsi="Times New Roman" w:eastAsia="宋体" w:cs="Times New Roman"/>
                <w:b/>
                <w:color w:val="auto"/>
                <w:sz w:val="30"/>
                <w:szCs w:val="30"/>
              </w:rPr>
            </w:pPr>
          </w:p>
        </w:tc>
      </w:tr>
    </w:tbl>
    <w:p>
      <w:pPr>
        <w:rPr>
          <w:rFonts w:ascii="Times New Roman" w:hAnsi="Times New Roman" w:eastAsia="宋体" w:cs="Times New Roman"/>
          <w:b/>
          <w:color w:val="auto"/>
          <w:sz w:val="30"/>
          <w:szCs w:val="30"/>
        </w:rPr>
        <w:sectPr>
          <w:pgSz w:w="11906" w:h="16838"/>
          <w:pgMar w:top="1440" w:right="1800" w:bottom="1440" w:left="1800" w:header="851" w:footer="992" w:gutter="0"/>
          <w:pgNumType w:fmt="decimal"/>
          <w:cols w:space="425" w:num="1"/>
          <w:docGrid w:type="lines" w:linePitch="312" w:charSpace="0"/>
        </w:sectPr>
      </w:pPr>
    </w:p>
    <w:p>
      <w:pPr>
        <w:spacing w:line="360" w:lineRule="auto"/>
        <w:ind w:firstLine="602" w:firstLineChars="200"/>
        <w:jc w:val="left"/>
        <w:outlineLvl w:val="0"/>
        <w:rPr>
          <w:rFonts w:ascii="Times New Roman" w:hAnsi="Times New Roman" w:eastAsia="宋体" w:cs="Times New Roman"/>
          <w:b/>
          <w:color w:val="auto"/>
          <w:sz w:val="30"/>
          <w:szCs w:val="30"/>
        </w:rPr>
      </w:pPr>
      <w:r>
        <w:rPr>
          <w:rFonts w:hint="eastAsia" w:ascii="宋体" w:hAnsi="宋体" w:eastAsia="宋体" w:cs="宋体"/>
          <w:b/>
          <w:color w:val="auto"/>
          <w:sz w:val="30"/>
          <w:szCs w:val="30"/>
          <w:lang w:bidi="ar"/>
        </w:rPr>
        <w:t>结论和建议</w:t>
      </w: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12" w:space="0"/>
              <w:right w:val="single" w:color="auto" w:sz="12" w:space="0"/>
            </w:tcBorders>
            <w:shd w:val="clear" w:color="auto" w:fill="auto"/>
          </w:tcPr>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一、结论</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1</w:t>
            </w:r>
            <w:r>
              <w:rPr>
                <w:rFonts w:hint="eastAsia" w:ascii="宋体" w:hAnsi="宋体" w:eastAsia="宋体" w:cs="宋体"/>
                <w:b/>
                <w:color w:val="auto"/>
                <w:sz w:val="24"/>
                <w:lang w:bidi="ar"/>
              </w:rPr>
              <w:t>、项目概况</w:t>
            </w:r>
          </w:p>
          <w:p>
            <w:pPr>
              <w:spacing w:line="360" w:lineRule="auto"/>
              <w:ind w:firstLine="480" w:firstLineChars="200"/>
              <w:rPr>
                <w:rFonts w:hint="eastAsia" w:ascii="Times New Roman" w:hAnsi="Times New Roman" w:eastAsia="宋体" w:cs="Times New Roman"/>
                <w:color w:val="auto"/>
                <w:sz w:val="24"/>
                <w:lang w:val="en-US" w:eastAsia="zh-CN" w:bidi="ar"/>
              </w:rPr>
            </w:pPr>
            <w:r>
              <w:rPr>
                <w:rFonts w:hint="eastAsia" w:ascii="Times New Roman" w:hAnsi="Times New Roman" w:eastAsia="宋体" w:cs="Times New Roman"/>
                <w:color w:val="auto"/>
                <w:sz w:val="24"/>
                <w:lang w:val="en-US" w:eastAsia="zh-CN" w:bidi="ar"/>
              </w:rPr>
              <w:t>常州市燕青生物质能源有限公司位于常州市武进区嘉泽镇满墩，成立于2008年8月29日，经营范围：木屑生物质颗粒燃料加工。常州市燕青生物质能源有限公司“2万吨/年木屑生物质颗粒燃料加工项目”已于2013年11月25日取得常州市武进区环保局环评批复，投产后未申请验收，于2016年9月编制《纳入环境保护登记管理建设项目自查评估报告》，符合“登记一批”要求。</w:t>
            </w:r>
          </w:p>
          <w:p>
            <w:pPr>
              <w:spacing w:line="360" w:lineRule="auto"/>
              <w:ind w:firstLine="480" w:firstLineChars="200"/>
              <w:rPr>
                <w:rFonts w:hint="eastAsia" w:ascii="Times New Roman" w:hAnsi="Times New Roman" w:eastAsia="宋体" w:cs="Times New Roman"/>
                <w:color w:val="auto"/>
                <w:sz w:val="24"/>
                <w:lang w:bidi="ar"/>
              </w:rPr>
            </w:pPr>
            <w:r>
              <w:rPr>
                <w:rFonts w:hint="eastAsia" w:ascii="Times New Roman" w:hAnsi="Times New Roman" w:eastAsia="宋体" w:cs="Times New Roman"/>
                <w:color w:val="auto"/>
                <w:sz w:val="24"/>
                <w:lang w:val="en-US" w:eastAsia="zh-CN" w:bidi="ar"/>
              </w:rPr>
              <w:t>本项目拟</w:t>
            </w:r>
            <w:r>
              <w:rPr>
                <w:rFonts w:hint="eastAsia" w:ascii="Times New Roman" w:hAnsi="Times New Roman" w:eastAsia="宋体" w:cs="Times New Roman"/>
                <w:color w:val="auto"/>
                <w:sz w:val="24"/>
                <w:lang w:bidi="ar"/>
              </w:rPr>
              <w:t>投资</w:t>
            </w:r>
            <w:r>
              <w:rPr>
                <w:rFonts w:hint="eastAsia" w:ascii="Times New Roman" w:hAnsi="Times New Roman" w:eastAsia="宋体" w:cs="Times New Roman"/>
                <w:color w:val="auto"/>
                <w:sz w:val="24"/>
                <w:lang w:val="en-US" w:eastAsia="zh-CN" w:bidi="ar"/>
              </w:rPr>
              <w:t>800</w:t>
            </w:r>
            <w:r>
              <w:rPr>
                <w:rFonts w:hint="eastAsia" w:ascii="Times New Roman" w:hAnsi="Times New Roman" w:eastAsia="宋体" w:cs="Times New Roman"/>
                <w:color w:val="auto"/>
                <w:sz w:val="24"/>
                <w:lang w:bidi="ar"/>
              </w:rPr>
              <w:t>万元，租用厂房1500平米，新购置烘干机、热风炉等设备2台（套）以提升产品质量和生产能力。项目建成后，形成年产3万吨生物质压力块的生产能力。建设单位已于201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29</w:t>
            </w:r>
            <w:r>
              <w:rPr>
                <w:rFonts w:hint="eastAsia" w:ascii="Times New Roman" w:hAnsi="Times New Roman" w:eastAsia="宋体" w:cs="Times New Roman"/>
                <w:color w:val="auto"/>
                <w:sz w:val="24"/>
                <w:lang w:bidi="ar"/>
              </w:rPr>
              <w:t>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（备案号：武行审技备[2019]40号）。</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不新增员工</w:t>
            </w:r>
            <w:r>
              <w:rPr>
                <w:rFonts w:hint="eastAsia" w:ascii="Times New Roman" w:hAnsi="Times New Roman" w:eastAsia="宋体" w:cs="Times New Roman"/>
                <w:color w:val="auto"/>
                <w:sz w:val="24"/>
                <w:lang w:bidi="ar"/>
              </w:rPr>
              <w:t>，年工作时间</w:t>
            </w:r>
            <w:r>
              <w:rPr>
                <w:rFonts w:hint="eastAsia" w:ascii="Times New Roman" w:hAnsi="Times New Roman" w:eastAsia="宋体" w:cs="Times New Roman"/>
                <w:color w:val="auto"/>
                <w:sz w:val="24"/>
                <w:lang w:val="en-US" w:eastAsia="zh-CN" w:bidi="ar"/>
              </w:rPr>
              <w:t>30</w:t>
            </w:r>
            <w:r>
              <w:rPr>
                <w:rFonts w:hint="eastAsia" w:ascii="Times New Roman" w:hAnsi="Times New Roman" w:eastAsia="宋体" w:cs="Times New Roman"/>
                <w:color w:val="auto"/>
                <w:sz w:val="24"/>
                <w:lang w:bidi="ar"/>
              </w:rPr>
              <w:t>0天，正常工况班制为</w:t>
            </w:r>
            <w:r>
              <w:rPr>
                <w:rFonts w:hint="eastAsia" w:ascii="Times New Roman" w:hAnsi="Times New Roman" w:eastAsia="宋体" w:cs="Times New Roman"/>
                <w:color w:val="auto"/>
                <w:sz w:val="24"/>
                <w:lang w:val="en-US" w:eastAsia="zh-CN" w:bidi="ar"/>
              </w:rPr>
              <w:t>三</w:t>
            </w:r>
            <w:r>
              <w:rPr>
                <w:rFonts w:hint="eastAsia" w:ascii="Times New Roman" w:hAnsi="Times New Roman" w:eastAsia="宋体" w:cs="Times New Roman"/>
                <w:color w:val="auto"/>
                <w:sz w:val="24"/>
                <w:lang w:bidi="ar"/>
              </w:rPr>
              <w:t>班制，每班8小时，厂房内不</w:t>
            </w:r>
            <w:r>
              <w:rPr>
                <w:rFonts w:hint="eastAsia" w:ascii="Times New Roman" w:hAnsi="Times New Roman" w:eastAsia="宋体" w:cs="Times New Roman"/>
                <w:color w:val="auto"/>
                <w:sz w:val="24"/>
                <w:lang w:val="en-US" w:eastAsia="zh-CN" w:bidi="ar"/>
              </w:rPr>
              <w:t>设</w:t>
            </w:r>
            <w:r>
              <w:rPr>
                <w:rFonts w:hint="eastAsia" w:ascii="Times New Roman" w:hAnsi="Times New Roman" w:eastAsia="宋体" w:cs="Times New Roman"/>
                <w:color w:val="auto"/>
                <w:sz w:val="24"/>
                <w:lang w:bidi="ar"/>
              </w:rPr>
              <w:t>食堂、宿舍。</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2</w:t>
            </w:r>
            <w:r>
              <w:rPr>
                <w:rFonts w:hint="eastAsia" w:ascii="宋体" w:hAnsi="宋体" w:eastAsia="宋体" w:cs="宋体"/>
                <w:b/>
                <w:color w:val="auto"/>
                <w:sz w:val="24"/>
                <w:lang w:bidi="ar"/>
              </w:rPr>
              <w:t>、产业政策、相关规划相符性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w:t>
            </w:r>
            <w:r>
              <w:rPr>
                <w:rFonts w:hint="eastAsia" w:ascii="Times New Roman" w:hAnsi="Times New Roman" w:eastAsia="宋体" w:cs="Times New Roman"/>
                <w:color w:val="auto"/>
                <w:sz w:val="24"/>
                <w:lang w:bidi="ar"/>
              </w:rPr>
              <w:t>本项目不属于《产业结构调整指导目录（</w:t>
            </w:r>
            <w:r>
              <w:rPr>
                <w:rFonts w:ascii="Times New Roman" w:hAnsi="Times New Roman" w:eastAsia="宋体" w:cs="Times New Roman"/>
                <w:color w:val="auto"/>
                <w:sz w:val="24"/>
                <w:lang w:bidi="ar"/>
              </w:rPr>
              <w:t>2011</w:t>
            </w:r>
            <w:r>
              <w:rPr>
                <w:rFonts w:hint="eastAsia" w:ascii="宋体" w:hAnsi="宋体" w:eastAsia="宋体" w:cs="宋体"/>
                <w:color w:val="auto"/>
                <w:sz w:val="24"/>
                <w:lang w:bidi="ar"/>
              </w:rPr>
              <w:t>年本）（</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年修订）》（中华人民共和国国家发展和改革委员会令第</w:t>
            </w:r>
            <w:r>
              <w:rPr>
                <w:rFonts w:ascii="Times New Roman" w:hAnsi="Times New Roman" w:eastAsia="宋体" w:cs="Times New Roman"/>
                <w:color w:val="auto"/>
                <w:sz w:val="24"/>
                <w:lang w:bidi="ar"/>
              </w:rPr>
              <w:t>36</w:t>
            </w:r>
            <w:r>
              <w:rPr>
                <w:rFonts w:hint="eastAsia" w:ascii="宋体" w:hAnsi="宋体" w:eastAsia="宋体" w:cs="宋体"/>
                <w:color w:val="auto"/>
                <w:sz w:val="24"/>
                <w:lang w:bidi="ar"/>
              </w:rPr>
              <w:t>号，</w:t>
            </w:r>
            <w:r>
              <w:rPr>
                <w:rFonts w:ascii="Times New Roman" w:hAnsi="Times New Roman" w:eastAsia="宋体" w:cs="Times New Roman"/>
                <w:color w:val="auto"/>
                <w:sz w:val="24"/>
                <w:lang w:bidi="ar"/>
              </w:rPr>
              <w:t>2016</w:t>
            </w:r>
            <w:r>
              <w:rPr>
                <w:rFonts w:hint="eastAsia" w:ascii="宋体" w:hAnsi="宋体" w:eastAsia="宋体" w:cs="宋体"/>
                <w:color w:val="auto"/>
                <w:sz w:val="24"/>
                <w:lang w:bidi="ar"/>
              </w:rPr>
              <w:t>年</w:t>
            </w: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月</w:t>
            </w:r>
            <w:r>
              <w:rPr>
                <w:rFonts w:ascii="Times New Roman" w:hAnsi="Times New Roman" w:eastAsia="宋体" w:cs="Times New Roman"/>
                <w:color w:val="auto"/>
                <w:sz w:val="24"/>
                <w:lang w:bidi="ar"/>
              </w:rPr>
              <w:t>25</w:t>
            </w:r>
            <w:r>
              <w:rPr>
                <w:rFonts w:hint="eastAsia" w:ascii="宋体" w:hAnsi="宋体" w:eastAsia="宋体" w:cs="宋体"/>
                <w:color w:val="auto"/>
                <w:sz w:val="24"/>
                <w:lang w:bidi="ar"/>
              </w:rPr>
              <w:t>日）中的限制和淘汰类项目。</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2</w:t>
            </w:r>
            <w:r>
              <w:rPr>
                <w:rFonts w:hint="eastAsia" w:ascii="宋体" w:hAnsi="宋体" w:eastAsia="宋体" w:cs="宋体"/>
                <w:color w:val="auto"/>
                <w:sz w:val="24"/>
                <w:lang w:eastAsia="zh-CN" w:bidi="ar"/>
              </w:rPr>
              <w:t>）本项目产品不属于《省政府办公厅关于印发江苏省工业和信息产业结构调整指导目录（2012 年本）的通知》（苏政办发[2013]9 号），与修改《江苏省工业和信息产业结构调整指导目录（2012 年本）》（苏经信产业[2013]183 号）以及《省政府办公厅转发省经济和信息化委省发展改革委江苏省工业和信息产业结构调整限制淘汰目录和能耗限额的通知》（苏政办发[2015]118 号）中限制和淘汰类。</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3</w:t>
            </w:r>
            <w:r>
              <w:rPr>
                <w:rFonts w:hint="eastAsia" w:ascii="宋体" w:hAnsi="宋体" w:eastAsia="宋体" w:cs="宋体"/>
                <w:color w:val="auto"/>
                <w:sz w:val="24"/>
                <w:lang w:eastAsia="zh-CN" w:bidi="ar"/>
              </w:rPr>
              <w:t>）本项目不属于市政府办公室关于转发《省政府办公厅转发省经济和信息化委省发展改革委江苏省工业和信息产业结构调整限制淘汰目录和能耗限额的通知》的通知（常政办发[2016]51 号）中的限制类和淘汰类，不涉及相关能耗限值。</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4</w:t>
            </w:r>
            <w:r>
              <w:rPr>
                <w:rFonts w:hint="eastAsia" w:ascii="宋体" w:hAnsi="宋体" w:eastAsia="宋体" w:cs="宋体"/>
                <w:color w:val="auto"/>
                <w:sz w:val="24"/>
                <w:lang w:eastAsia="zh-CN" w:bidi="ar"/>
              </w:rPr>
              <w:t>）本项目</w:t>
            </w:r>
            <w:r>
              <w:rPr>
                <w:rFonts w:hint="eastAsia" w:ascii="Times New Roman" w:hAnsi="Times New Roman" w:eastAsia="宋体" w:cs="Times New Roman"/>
                <w:color w:val="auto"/>
                <w:sz w:val="24"/>
                <w:lang w:bidi="ar"/>
              </w:rPr>
              <w:t>已于201</w:t>
            </w:r>
            <w:r>
              <w:rPr>
                <w:rFonts w:hint="eastAsia" w:ascii="Times New Roman" w:hAnsi="Times New Roman" w:eastAsia="宋体" w:cs="Times New Roman"/>
                <w:color w:val="auto"/>
                <w:sz w:val="24"/>
                <w:lang w:val="en-US" w:eastAsia="zh-CN" w:bidi="ar"/>
              </w:rPr>
              <w:t>9</w:t>
            </w:r>
            <w:r>
              <w:rPr>
                <w:rFonts w:hint="eastAsia" w:ascii="Times New Roman" w:hAnsi="Times New Roman" w:eastAsia="宋体" w:cs="Times New Roman"/>
                <w:color w:val="auto"/>
                <w:sz w:val="24"/>
                <w:lang w:bidi="ar"/>
              </w:rPr>
              <w:t>年4月</w:t>
            </w:r>
            <w:r>
              <w:rPr>
                <w:rFonts w:hint="eastAsia" w:ascii="Times New Roman" w:hAnsi="Times New Roman" w:eastAsia="宋体" w:cs="Times New Roman"/>
                <w:color w:val="auto"/>
                <w:sz w:val="24"/>
                <w:lang w:val="en-US" w:eastAsia="zh-CN" w:bidi="ar"/>
              </w:rPr>
              <w:t>29</w:t>
            </w:r>
            <w:r>
              <w:rPr>
                <w:rFonts w:hint="eastAsia" w:ascii="Times New Roman" w:hAnsi="Times New Roman" w:eastAsia="宋体" w:cs="Times New Roman"/>
                <w:color w:val="auto"/>
                <w:sz w:val="24"/>
                <w:lang w:bidi="ar"/>
              </w:rPr>
              <w:t>日取得常州市武进区行政审批局出具的</w:t>
            </w:r>
            <w:r>
              <w:rPr>
                <w:rFonts w:hint="eastAsia" w:ascii="Times New Roman" w:hAnsi="Times New Roman" w:eastAsia="宋体" w:cs="Times New Roman"/>
                <w:color w:val="auto"/>
                <w:sz w:val="24"/>
                <w:lang w:val="en-US" w:eastAsia="zh-CN" w:bidi="ar"/>
              </w:rPr>
              <w:t>备案证</w:t>
            </w:r>
            <w:r>
              <w:rPr>
                <w:rFonts w:hint="eastAsia" w:ascii="Times New Roman" w:hAnsi="Times New Roman" w:eastAsia="宋体" w:cs="Times New Roman"/>
                <w:color w:val="auto"/>
                <w:sz w:val="24"/>
                <w:lang w:bidi="ar"/>
              </w:rPr>
              <w:t>（备案号：武行审技备[2019]40号）</w:t>
            </w:r>
            <w:r>
              <w:rPr>
                <w:rFonts w:hint="eastAsia" w:ascii="宋体" w:hAnsi="宋体" w:eastAsia="宋体" w:cs="宋体"/>
                <w:color w:val="auto"/>
                <w:sz w:val="24"/>
                <w:lang w:eastAsia="zh-CN" w:bidi="ar"/>
              </w:rPr>
              <w:t>。</w:t>
            </w:r>
          </w:p>
          <w:p>
            <w:pPr>
              <w:spacing w:line="360" w:lineRule="auto"/>
              <w:ind w:firstLine="480" w:firstLineChars="200"/>
              <w:rPr>
                <w:rFonts w:hint="eastAsia" w:ascii="宋体" w:hAnsi="宋体" w:eastAsia="宋体" w:cs="宋体"/>
                <w:color w:val="auto"/>
                <w:sz w:val="24"/>
                <w:lang w:eastAsia="zh-CN" w:bidi="ar"/>
              </w:rPr>
            </w:pPr>
            <w:r>
              <w:rPr>
                <w:rFonts w:hint="eastAsia" w:ascii="宋体" w:hAnsi="宋体" w:eastAsia="宋体" w:cs="宋体"/>
                <w:color w:val="auto"/>
                <w:sz w:val="24"/>
                <w:lang w:eastAsia="zh-CN" w:bidi="ar"/>
              </w:rPr>
              <w:t>（</w:t>
            </w:r>
            <w:r>
              <w:rPr>
                <w:rFonts w:hint="eastAsia" w:ascii="宋体" w:hAnsi="宋体" w:eastAsia="宋体" w:cs="宋体"/>
                <w:color w:val="auto"/>
                <w:sz w:val="24"/>
                <w:lang w:val="en-US" w:eastAsia="zh-CN" w:bidi="ar"/>
              </w:rPr>
              <w:t>5</w:t>
            </w:r>
            <w:r>
              <w:rPr>
                <w:rFonts w:hint="eastAsia" w:ascii="宋体" w:hAnsi="宋体" w:eastAsia="宋体" w:cs="宋体"/>
                <w:color w:val="auto"/>
                <w:sz w:val="24"/>
                <w:lang w:eastAsia="zh-CN" w:bidi="ar"/>
              </w:rPr>
              <w:t>）本项目位于太湖流域三级保护区内，根据《太湖流域管理条例》（中华人民共和国国务院令第 604 号）、《江苏省人民代表大会常务委员会关于修改〈江苏省太湖水污染防治条例〉的决定》（江苏省人大常委会公告第 71 号）的规定和《省政府关于印发江苏省太湖水污染治理工作方案的通知》（苏政发[2007]97 号），太湖流域一、二、三级保护区禁止下列行为：新建、改建、扩建化学制浆造纸、制革、酿造、染料、印染、电镀以及其他排放含磷、氮等污染物的企业和项目，城镇污水集中处理等环境基础设施项目和第四十六条规定的情形除外。本项目</w:t>
            </w:r>
            <w:r>
              <w:rPr>
                <w:rFonts w:hint="eastAsia" w:ascii="宋体" w:hAnsi="宋体" w:eastAsia="宋体" w:cs="宋体"/>
                <w:color w:val="auto"/>
                <w:sz w:val="24"/>
                <w:lang w:val="en-US" w:eastAsia="zh-CN" w:bidi="ar"/>
              </w:rPr>
              <w:t>不产生生产废水</w:t>
            </w:r>
            <w:r>
              <w:rPr>
                <w:rFonts w:hint="eastAsia" w:ascii="宋体" w:hAnsi="宋体" w:eastAsia="宋体" w:cs="宋体"/>
                <w:color w:val="auto"/>
                <w:sz w:val="24"/>
                <w:lang w:eastAsia="zh-CN" w:bidi="ar"/>
              </w:rPr>
              <w:t>，因此本项目符合太湖流域相关文件规定。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6</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①</w:t>
            </w:r>
            <w:r>
              <w:rPr>
                <w:rFonts w:hint="eastAsia" w:ascii="宋体" w:hAnsi="宋体" w:eastAsia="宋体" w:cs="宋体"/>
                <w:color w:val="auto"/>
                <w:sz w:val="24"/>
                <w:lang w:bidi="ar"/>
              </w:rPr>
              <w:t>治理太湖水环境</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到2020</w:t>
            </w:r>
            <w:r>
              <w:rPr>
                <w:rFonts w:hint="eastAsia" w:ascii="宋体" w:hAnsi="宋体" w:eastAsia="宋体" w:cs="宋体"/>
                <w:color w:val="auto"/>
                <w:sz w:val="24"/>
                <w:lang w:bidi="ar"/>
              </w:rPr>
              <w:t>年，太湖湖体高锰酸盐指数和氨氮稳定保持在</w:t>
            </w:r>
            <w:r>
              <w:rPr>
                <w:rFonts w:ascii="Times New Roman" w:hAnsi="Times New Roman" w:eastAsia="宋体" w:cs="Times New Roman"/>
                <w:color w:val="auto"/>
                <w:sz w:val="24"/>
                <w:lang w:bidi="ar"/>
              </w:rPr>
              <w:t>II</w:t>
            </w:r>
            <w:r>
              <w:rPr>
                <w:rFonts w:hint="eastAsia" w:ascii="宋体" w:hAnsi="宋体" w:eastAsia="宋体" w:cs="宋体"/>
                <w:color w:val="auto"/>
                <w:sz w:val="24"/>
                <w:lang w:bidi="ar"/>
              </w:rPr>
              <w:t>类，总磷达到</w:t>
            </w:r>
            <w:r>
              <w:rPr>
                <w:rFonts w:ascii="Times New Roman" w:hAnsi="Times New Roman" w:eastAsia="宋体" w:cs="Times New Roman"/>
                <w:color w:val="auto"/>
                <w:sz w:val="24"/>
                <w:lang w:bidi="ar"/>
              </w:rPr>
              <w:t>III</w:t>
            </w:r>
            <w:r>
              <w:rPr>
                <w:rFonts w:hint="eastAsia" w:ascii="宋体" w:hAnsi="宋体" w:eastAsia="宋体" w:cs="宋体"/>
                <w:color w:val="auto"/>
                <w:sz w:val="24"/>
                <w:lang w:bidi="ar"/>
              </w:rPr>
              <w:t>类，总氮达到</w:t>
            </w:r>
            <w:r>
              <w:rPr>
                <w:rFonts w:ascii="Times New Roman" w:hAnsi="Times New Roman" w:eastAsia="宋体" w:cs="Times New Roman"/>
                <w:color w:val="auto"/>
                <w:sz w:val="24"/>
                <w:lang w:bidi="ar"/>
              </w:rPr>
              <w:t>V</w:t>
            </w:r>
            <w:r>
              <w:rPr>
                <w:rFonts w:hint="eastAsia" w:ascii="宋体" w:hAnsi="宋体" w:eastAsia="宋体" w:cs="宋体"/>
                <w:color w:val="auto"/>
                <w:sz w:val="24"/>
                <w:lang w:bidi="ar"/>
              </w:rPr>
              <w:t>类，流域总氮、总磷污染物排放量均比</w:t>
            </w:r>
            <w:r>
              <w:rPr>
                <w:rFonts w:ascii="Times New Roman" w:hAnsi="Times New Roman" w:eastAsia="宋体" w:cs="Times New Roman"/>
                <w:color w:val="auto"/>
                <w:sz w:val="24"/>
                <w:lang w:bidi="ar"/>
              </w:rPr>
              <w:t xml:space="preserve">2015 </w:t>
            </w:r>
            <w:r>
              <w:rPr>
                <w:rFonts w:hint="eastAsia" w:ascii="宋体" w:hAnsi="宋体" w:eastAsia="宋体" w:cs="宋体"/>
                <w:color w:val="auto"/>
                <w:sz w:val="24"/>
                <w:lang w:bidi="ar"/>
              </w:rPr>
              <w:t>年削减</w:t>
            </w:r>
            <w:r>
              <w:rPr>
                <w:rFonts w:ascii="Times New Roman" w:hAnsi="Times New Roman" w:eastAsia="宋体" w:cs="Times New Roman"/>
                <w:color w:val="auto"/>
                <w:sz w:val="24"/>
                <w:lang w:bidi="ar"/>
              </w:rPr>
              <w:t>16%</w:t>
            </w:r>
            <w:r>
              <w:rPr>
                <w:rFonts w:hint="eastAsia" w:ascii="宋体" w:hAnsi="宋体" w:eastAsia="宋体" w:cs="宋体"/>
                <w:color w:val="auto"/>
                <w:sz w:val="24"/>
                <w:lang w:bidi="ar"/>
              </w:rPr>
              <w:t>以上，确保饮用水安全、确保不发生大面积湖泛。</w:t>
            </w:r>
          </w:p>
          <w:p>
            <w:pPr>
              <w:spacing w:line="360" w:lineRule="auto"/>
              <w:ind w:firstLine="480" w:firstLineChars="200"/>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无生产废水产生及排放</w:t>
            </w:r>
            <w:r>
              <w:rPr>
                <w:rFonts w:hint="eastAsia"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本项目不新增</w:t>
            </w:r>
            <w:r>
              <w:rPr>
                <w:rFonts w:hint="eastAsia" w:ascii="Times New Roman" w:hAnsi="Times New Roman" w:eastAsia="宋体" w:cs="Times New Roman"/>
                <w:color w:val="auto"/>
                <w:sz w:val="24"/>
                <w:lang w:bidi="ar"/>
              </w:rPr>
              <w:t>生活污水</w:t>
            </w:r>
            <w:r>
              <w:rPr>
                <w:rFonts w:ascii="Times New Roman" w:hAnsi="Times New Roman" w:eastAsia="宋体" w:cs="Times New Roman"/>
                <w:color w:val="auto"/>
                <w:sz w:val="24"/>
                <w:lang w:bidi="ar"/>
              </w:rPr>
              <w:t>，与“</w:t>
            </w:r>
            <w:r>
              <w:rPr>
                <w:rFonts w:hint="eastAsia" w:ascii="宋体" w:hAnsi="宋体" w:eastAsia="宋体" w:cs="宋体"/>
                <w:color w:val="auto"/>
                <w:sz w:val="24"/>
                <w:lang w:bidi="ar"/>
              </w:rPr>
              <w:t>两减六治三提升</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专项行动方案要求相符。</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7</w:t>
            </w:r>
            <w:r>
              <w:rPr>
                <w:rFonts w:hint="default" w:ascii="Times New Roman" w:hAnsi="Times New Roman" w:eastAsia="宋体" w:cs="Times New Roman"/>
                <w:color w:val="auto"/>
                <w:sz w:val="24"/>
                <w:lang w:bidi="ar"/>
              </w:rPr>
              <w:t>）与《</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》(苏政发〔2018〕122号)对照分析</w:t>
            </w:r>
          </w:p>
          <w:p>
            <w:pPr>
              <w:spacing w:line="360" w:lineRule="auto"/>
              <w:ind w:firstLine="480" w:firstLineChars="200"/>
              <w:rPr>
                <w:rFonts w:hint="default" w:ascii="Times New Roman" w:hAnsi="Times New Roman" w:eastAsia="宋体" w:cs="Times New Roman"/>
                <w:color w:val="auto"/>
                <w:sz w:val="24"/>
                <w:lang w:bidi="ar"/>
              </w:rPr>
            </w:pPr>
            <w:r>
              <w:rPr>
                <w:rFonts w:hint="default" w:ascii="Times New Roman" w:hAnsi="Times New Roman" w:eastAsia="宋体" w:cs="Times New Roman"/>
                <w:color w:val="auto"/>
                <w:sz w:val="24"/>
                <w:lang w:bidi="ar"/>
              </w:rPr>
              <w:t>通知要求：禁止建设生产和使用高VOCs含量的溶剂型涂料、油墨、胶粘剂等项目。以减少苯、甲苯、二甲苯等溶剂和助剂的使用为重点，推进低VOCs含量、低反应活性原辅材料和产品的替代。2020年,全省高活性溶剂和助剂类产品使用减少20%以上。严控“两高”行业产能。严禁新增钢铁、焦化、电解铝、铸造、水泥和平板玻璃等产能。严格执行钢铁、水泥、平板玻璃等行业产能置换实施办法。</w:t>
            </w:r>
          </w:p>
          <w:p>
            <w:pPr>
              <w:spacing w:line="360" w:lineRule="auto"/>
              <w:ind w:firstLine="480" w:firstLineChars="200"/>
              <w:rPr>
                <w:rFonts w:hint="default" w:ascii="Times New Roman" w:hAnsi="Times New Roman" w:eastAsia="宋体" w:cs="Times New Roman"/>
                <w:color w:val="auto"/>
                <w:sz w:val="24"/>
                <w:lang w:bidi="ar"/>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无VOCs产生</w:t>
            </w:r>
            <w:r>
              <w:rPr>
                <w:rFonts w:hint="default" w:ascii="Times New Roman" w:hAnsi="Times New Roman" w:eastAsia="宋体" w:cs="Times New Roman"/>
                <w:color w:val="auto"/>
                <w:sz w:val="24"/>
                <w:lang w:bidi="ar"/>
              </w:rPr>
              <w:t>，</w:t>
            </w:r>
            <w:r>
              <w:rPr>
                <w:rFonts w:hint="eastAsia" w:ascii="Times New Roman" w:hAnsi="Times New Roman" w:eastAsia="宋体" w:cs="Times New Roman"/>
                <w:color w:val="auto"/>
                <w:sz w:val="24"/>
                <w:lang w:val="en-US" w:eastAsia="zh-CN" w:bidi="ar"/>
              </w:rPr>
              <w:t>不属于“两高”行业，</w:t>
            </w:r>
            <w:r>
              <w:rPr>
                <w:rFonts w:hint="default" w:ascii="Times New Roman" w:hAnsi="Times New Roman" w:eastAsia="宋体" w:cs="Times New Roman"/>
                <w:color w:val="auto"/>
                <w:sz w:val="24"/>
                <w:lang w:bidi="ar"/>
              </w:rPr>
              <w:t>符合《</w:t>
            </w:r>
            <w:r>
              <w:rPr>
                <w:rFonts w:hint="eastAsia" w:ascii="Times New Roman" w:hAnsi="Times New Roman" w:eastAsia="宋体" w:cs="Times New Roman"/>
                <w:color w:val="auto"/>
                <w:sz w:val="24"/>
                <w:lang w:eastAsia="zh-CN" w:bidi="ar"/>
              </w:rPr>
              <w:t>江苏省打赢蓝天保卫战三年行动计划实施方案</w:t>
            </w:r>
            <w:r>
              <w:rPr>
                <w:rFonts w:hint="default" w:ascii="Times New Roman" w:hAnsi="Times New Roman" w:eastAsia="宋体" w:cs="Times New Roman"/>
                <w:color w:val="auto"/>
                <w:sz w:val="24"/>
                <w:lang w:bidi="ar"/>
              </w:rPr>
              <w:t>》要求。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综上所述，本项目符合国家和地方产业政策。</w:t>
            </w:r>
          </w:p>
          <w:p>
            <w:pPr>
              <w:pStyle w:val="17"/>
              <w:widowControl/>
              <w:spacing w:line="360" w:lineRule="auto"/>
              <w:ind w:firstLine="482" w:firstLineChars="200"/>
              <w:rPr>
                <w:rFonts w:hint="default" w:ascii="Times New Roman" w:hAnsi="Times New Roman" w:cs="Times New Roman"/>
                <w:b/>
                <w:color w:val="auto"/>
              </w:rPr>
            </w:pPr>
            <w:r>
              <w:rPr>
                <w:rFonts w:hint="eastAsia" w:ascii="Times New Roman" w:hAnsi="Times New Roman" w:cs="Times New Roman"/>
                <w:b/>
                <w:color w:val="auto"/>
                <w:lang w:val="en-US" w:eastAsia="zh-CN"/>
              </w:rPr>
              <w:t>4</w:t>
            </w:r>
            <w:r>
              <w:rPr>
                <w:rFonts w:hAnsi="宋体"/>
                <w:b/>
                <w:color w:val="auto"/>
              </w:rPr>
              <w:t>、选址相符性</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常州市燕青生物质能源有限租用常州市蒋伟木业有限公司厂房1500平米</w:t>
            </w:r>
            <w:r>
              <w:rPr>
                <w:rFonts w:ascii="Times New Roman" w:hAnsi="Times New Roman" w:eastAsia="宋体" w:cs="Times New Roman"/>
                <w:color w:val="auto"/>
                <w:sz w:val="24"/>
              </w:rPr>
              <w:t>进行生产，</w:t>
            </w:r>
            <w:r>
              <w:rPr>
                <w:rFonts w:hint="eastAsia" w:ascii="Times New Roman" w:hAnsi="Times New Roman" w:eastAsia="宋体" w:cs="Times New Roman"/>
                <w:color w:val="auto"/>
                <w:sz w:val="24"/>
              </w:rPr>
              <w:t>常州市蒋伟木业有限公司</w:t>
            </w:r>
            <w:r>
              <w:rPr>
                <w:rFonts w:ascii="Times New Roman" w:hAnsi="Times New Roman" w:eastAsia="宋体" w:cs="Times New Roman"/>
                <w:color w:val="auto"/>
                <w:sz w:val="24"/>
              </w:rPr>
              <w:t>已于</w:t>
            </w:r>
            <w:r>
              <w:rPr>
                <w:rFonts w:hint="eastAsia" w:ascii="Times New Roman" w:hAnsi="Times New Roman" w:eastAsia="宋体" w:cs="Times New Roman"/>
                <w:color w:val="auto"/>
                <w:sz w:val="24"/>
                <w:lang w:val="en-US" w:eastAsia="zh-CN"/>
              </w:rPr>
              <w:t>2002年12月10日</w:t>
            </w:r>
            <w:r>
              <w:rPr>
                <w:rFonts w:ascii="Times New Roman" w:hAnsi="Times New Roman" w:eastAsia="宋体" w:cs="Times New Roman"/>
                <w:color w:val="auto"/>
                <w:sz w:val="24"/>
              </w:rPr>
              <w:t>取得</w:t>
            </w:r>
            <w:r>
              <w:rPr>
                <w:rFonts w:hint="eastAsia" w:ascii="Times New Roman" w:hAnsi="Times New Roman" w:eastAsia="宋体" w:cs="Times New Roman"/>
                <w:color w:val="auto"/>
                <w:sz w:val="24"/>
                <w:lang w:val="en-US" w:eastAsia="zh-CN"/>
              </w:rPr>
              <w:t>集体土地使用证（武集用（2002）字第4611647号）</w:t>
            </w:r>
            <w:r>
              <w:rPr>
                <w:rFonts w:ascii="Times New Roman" w:hAnsi="Times New Roman" w:eastAsia="宋体" w:cs="Times New Roman"/>
                <w:color w:val="auto"/>
                <w:sz w:val="24"/>
              </w:rPr>
              <w:t>，该地块为工业用地（见附件）</w:t>
            </w:r>
            <w:r>
              <w:rPr>
                <w:rFonts w:hint="eastAsia" w:ascii="Times New Roman" w:hAnsi="Times New Roman" w:eastAsia="宋体" w:cs="Times New Roman"/>
                <w:color w:val="auto"/>
                <w:sz w:val="24"/>
                <w:lang w:eastAsia="zh-CN"/>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本项目不属于《限制用地项目目录（2012</w:t>
            </w:r>
            <w:r>
              <w:rPr>
                <w:rFonts w:hint="eastAsia" w:ascii="宋体" w:hAnsi="宋体" w:eastAsia="宋体" w:cs="宋体"/>
                <w:color w:val="auto"/>
                <w:sz w:val="24"/>
                <w:lang w:bidi="ar"/>
              </w:rPr>
              <w:t>年本）》和《禁止用地项目目录（</w:t>
            </w:r>
            <w:r>
              <w:rPr>
                <w:rFonts w:ascii="Times New Roman" w:hAnsi="Times New Roman" w:eastAsia="宋体" w:cs="Times New Roman"/>
                <w:color w:val="auto"/>
                <w:sz w:val="24"/>
                <w:lang w:bidi="ar"/>
              </w:rPr>
              <w:t>2012</w:t>
            </w:r>
            <w:r>
              <w:rPr>
                <w:rFonts w:hint="eastAsia" w:ascii="宋体" w:hAnsi="宋体" w:eastAsia="宋体" w:cs="宋体"/>
                <w:color w:val="auto"/>
                <w:sz w:val="24"/>
                <w:lang w:bidi="ar"/>
              </w:rPr>
              <w:t>年本）》中所规定的类别，不属于《江苏省限制用地项目目录（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年本）》和《江苏省限制用地项目目录（</w:t>
            </w:r>
            <w:r>
              <w:rPr>
                <w:rFonts w:ascii="Times New Roman" w:hAnsi="Times New Roman" w:eastAsia="宋体" w:cs="Times New Roman"/>
                <w:color w:val="auto"/>
                <w:sz w:val="24"/>
                <w:lang w:bidi="ar"/>
              </w:rPr>
              <w:t>2013</w:t>
            </w:r>
            <w:r>
              <w:rPr>
                <w:rFonts w:hint="eastAsia" w:ascii="宋体" w:hAnsi="宋体" w:eastAsia="宋体" w:cs="宋体"/>
                <w:color w:val="auto"/>
                <w:sz w:val="24"/>
                <w:lang w:bidi="ar"/>
              </w:rPr>
              <w:t>年本）》中所规定的类别的项目。</w:t>
            </w:r>
          </w:p>
          <w:p>
            <w:pPr>
              <w:spacing w:line="360" w:lineRule="auto"/>
              <w:ind w:firstLine="480" w:firstLineChars="200"/>
              <w:rPr>
                <w:rFonts w:ascii="Times New Roman" w:hAnsi="Times New Roman" w:eastAsia="宋体" w:cs="Times New Roman"/>
                <w:color w:val="auto"/>
                <w:sz w:val="24"/>
                <w:highlight w:val="yellow"/>
              </w:rPr>
            </w:pPr>
            <w:r>
              <w:rPr>
                <w:rFonts w:ascii="Times New Roman" w:hAnsi="Times New Roman" w:eastAsia="宋体" w:cs="Times New Roman"/>
                <w:color w:val="auto"/>
                <w:sz w:val="24"/>
                <w:lang w:bidi="ar"/>
              </w:rPr>
              <w:t>本项目最近距《江苏省生态红线区域保护规划》</w:t>
            </w:r>
            <w:r>
              <w:rPr>
                <w:rFonts w:hint="eastAsia" w:ascii="Times New Roman" w:hAnsi="Times New Roman" w:eastAsia="宋体" w:cs="Times New Roman"/>
                <w:color w:val="auto"/>
                <w:sz w:val="24"/>
                <w:lang w:bidi="ar"/>
              </w:rPr>
              <w:t>和《江苏省国家级生态保护红线》</w:t>
            </w:r>
            <w:r>
              <w:rPr>
                <w:rFonts w:ascii="Times New Roman" w:hAnsi="Times New Roman" w:eastAsia="宋体" w:cs="Times New Roman"/>
                <w:color w:val="auto"/>
                <w:sz w:val="24"/>
                <w:lang w:bidi="ar"/>
              </w:rPr>
              <w:t>中常州市生态红线区域保护区——</w:t>
            </w:r>
            <w:r>
              <w:rPr>
                <w:rFonts w:hint="eastAsia" w:ascii="宋体" w:hAnsi="宋体" w:eastAsia="宋体" w:cs="宋体"/>
                <w:color w:val="auto"/>
                <w:sz w:val="24"/>
                <w:lang w:val="en-US" w:eastAsia="zh-CN" w:bidi="ar"/>
              </w:rPr>
              <w:t>滆湖（武进区）重要湿地</w:t>
            </w:r>
            <w:r>
              <w:rPr>
                <w:rFonts w:hint="eastAsia" w:ascii="宋体" w:hAnsi="宋体" w:eastAsia="宋体" w:cs="宋体"/>
                <w:color w:val="auto"/>
                <w:sz w:val="24"/>
                <w:lang w:bidi="ar"/>
              </w:rPr>
              <w:t>二级管控区内约</w:t>
            </w:r>
            <w:r>
              <w:rPr>
                <w:rFonts w:hint="eastAsia" w:ascii="宋体" w:hAnsi="宋体" w:eastAsia="宋体" w:cs="宋体"/>
                <w:color w:val="auto"/>
                <w:sz w:val="24"/>
                <w:lang w:val="en-US" w:eastAsia="zh-CN" w:bidi="ar"/>
              </w:rPr>
              <w:t>3.75k</w:t>
            </w:r>
            <w:r>
              <w:rPr>
                <w:rFonts w:ascii="Times New Roman" w:hAnsi="Times New Roman" w:eastAsia="宋体" w:cs="Times New Roman"/>
                <w:color w:val="auto"/>
                <w:sz w:val="24"/>
                <w:lang w:bidi="ar"/>
              </w:rPr>
              <w:t>m</w:t>
            </w:r>
            <w:r>
              <w:rPr>
                <w:rFonts w:hint="eastAsia" w:ascii="宋体" w:hAnsi="宋体" w:eastAsia="宋体" w:cs="宋体"/>
                <w:color w:val="auto"/>
                <w:sz w:val="24"/>
                <w:lang w:bidi="ar"/>
              </w:rPr>
              <w:t>，项目不在</w:t>
            </w:r>
            <w:r>
              <w:rPr>
                <w:rFonts w:hint="eastAsia" w:ascii="宋体" w:hAnsi="宋体" w:eastAsia="宋体" w:cs="宋体"/>
                <w:color w:val="auto"/>
                <w:sz w:val="24"/>
                <w:lang w:val="en-US" w:eastAsia="zh-CN" w:bidi="ar"/>
              </w:rPr>
              <w:t>滆湖（武进区）重要湿地二</w:t>
            </w:r>
            <w:r>
              <w:rPr>
                <w:rFonts w:hint="eastAsia" w:ascii="宋体" w:hAnsi="宋体" w:eastAsia="宋体" w:cs="宋体"/>
                <w:color w:val="auto"/>
                <w:sz w:val="24"/>
                <w:lang w:bidi="ar"/>
              </w:rPr>
              <w:t>级管控区内，且不属于湿地生态系统保护二级管控区禁止活动内容。</w:t>
            </w:r>
          </w:p>
          <w:p>
            <w:pPr>
              <w:spacing w:line="360" w:lineRule="auto"/>
              <w:ind w:firstLine="480" w:firstLineChars="200"/>
              <w:rPr>
                <w:rFonts w:hint="eastAsia" w:ascii="Times New Roman" w:hAnsi="Times New Roman" w:eastAsia="宋体" w:cs="Times New Roman"/>
                <w:color w:val="auto"/>
                <w:sz w:val="24"/>
                <w:lang w:eastAsia="zh-CN" w:bidi="ar"/>
              </w:rPr>
            </w:pPr>
            <w:r>
              <w:rPr>
                <w:rFonts w:ascii="Times New Roman" w:hAnsi="Times New Roman" w:eastAsia="宋体" w:cs="Times New Roman"/>
                <w:color w:val="auto"/>
                <w:sz w:val="24"/>
                <w:lang w:bidi="ar"/>
              </w:rPr>
              <w:t>因此，该用地性质符合要求</w:t>
            </w:r>
            <w:r>
              <w:rPr>
                <w:rFonts w:hint="eastAsia" w:ascii="Times New Roman" w:hAnsi="Times New Roman" w:eastAsia="宋体" w:cs="Times New Roman"/>
                <w:color w:val="auto"/>
                <w:sz w:val="24"/>
                <w:lang w:eastAsia="zh-CN" w:bidi="ar"/>
              </w:rPr>
              <w:t>。</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4</w:t>
            </w:r>
            <w:r>
              <w:rPr>
                <w:rFonts w:hint="eastAsia" w:ascii="宋体" w:hAnsi="宋体" w:eastAsia="宋体" w:cs="宋体"/>
                <w:b/>
                <w:color w:val="auto"/>
                <w:sz w:val="24"/>
                <w:lang w:bidi="ar"/>
              </w:rPr>
              <w:t>、环境质量状况</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bidi="ar"/>
              </w:rPr>
              <w:t>（1）环境空气质量现状</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val="en-US" w:eastAsia="zh-CN" w:bidi="ar"/>
              </w:rPr>
              <w:t>①</w:t>
            </w:r>
            <w:r>
              <w:rPr>
                <w:rFonts w:hint="eastAsia" w:ascii="宋体" w:hAnsi="宋体" w:eastAsia="宋体" w:cs="宋体"/>
                <w:color w:val="auto"/>
                <w:sz w:val="24"/>
                <w:lang w:bidi="ar"/>
              </w:rPr>
              <w:t>区域达标判定</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宋体"/>
                <w:color w:val="auto"/>
                <w:sz w:val="24"/>
                <w:lang w:bidi="ar"/>
              </w:rPr>
              <w:t>根据《环境影响评价技术导则 大气环境》（HJ2.2-2018），项目所在区域达标情况判定优先采用国家或地方生态环境主管部门公开发布的环境质量报告或环境质量报告书中的数据或结论。</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bidi="ar"/>
              </w:rPr>
              <w:t>本次评价选取2017年作为评价基准年，根据《常州市2017年环境质量公报》，项目所在区域常州市各评价因</w:t>
            </w:r>
            <w:r>
              <w:rPr>
                <w:rFonts w:hint="eastAsia" w:ascii="宋体" w:hAnsi="宋体" w:eastAsia="宋体" w:cs="Times New Roman"/>
                <w:color w:val="auto"/>
                <w:sz w:val="24"/>
                <w:lang w:bidi="ar"/>
              </w:rPr>
              <w:t>子数据见表3-1。</w:t>
            </w:r>
          </w:p>
          <w:p>
            <w:pPr>
              <w:spacing w:line="360" w:lineRule="auto"/>
              <w:ind w:firstLine="480" w:firstLineChars="200"/>
              <w:rPr>
                <w:rFonts w:hint="eastAsia" w:ascii="宋体" w:hAnsi="宋体" w:eastAsia="宋体" w:cs="宋体"/>
                <w:color w:val="auto"/>
                <w:sz w:val="24"/>
                <w:lang w:bidi="ar"/>
              </w:rPr>
            </w:pPr>
            <w:r>
              <w:rPr>
                <w:rFonts w:hint="eastAsia" w:ascii="宋体" w:hAnsi="宋体" w:eastAsia="宋体" w:cs="Times New Roman"/>
                <w:color w:val="auto"/>
                <w:sz w:val="24"/>
                <w:lang w:bidi="ar"/>
              </w:rPr>
              <w:t>2017年常州市环境空气中二氧化硫年均值和一氧化碳24小时平均值均达到环境空气质量二级标准；二氧化氮、</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10</w:t>
            </w:r>
            <w:r>
              <w:rPr>
                <w:rFonts w:hint="eastAsia" w:ascii="宋体" w:hAnsi="宋体" w:eastAsia="宋体" w:cs="Times New Roman"/>
                <w:color w:val="auto"/>
                <w:sz w:val="24"/>
                <w:lang w:bidi="ar"/>
              </w:rPr>
              <w:t>、</w:t>
            </w:r>
            <w:r>
              <w:rPr>
                <w:rFonts w:ascii="Times New Roman" w:hAnsi="Times New Roman" w:eastAsia="仿宋" w:cs="Times New Roman"/>
                <w:color w:val="auto"/>
                <w:sz w:val="24"/>
                <w:lang w:bidi="ar"/>
              </w:rPr>
              <w:t>PM</w:t>
            </w:r>
            <w:r>
              <w:rPr>
                <w:rFonts w:ascii="Times New Roman" w:hAnsi="Times New Roman" w:eastAsia="仿宋" w:cs="Times New Roman"/>
                <w:color w:val="auto"/>
                <w:sz w:val="24"/>
                <w:vertAlign w:val="subscript"/>
                <w:lang w:bidi="ar"/>
              </w:rPr>
              <w:t>2.5</w:t>
            </w:r>
            <w:r>
              <w:rPr>
                <w:rFonts w:hint="eastAsia" w:ascii="宋体" w:hAnsi="宋体" w:eastAsia="宋体" w:cs="Times New Roman"/>
                <w:color w:val="auto"/>
                <w:sz w:val="24"/>
                <w:lang w:bidi="ar"/>
              </w:rPr>
              <w:t>年均值和臭氧日最大8小时滑动均值均超过环境空气质量二级标准，常州市2017年环境空气质量不达标，因此判</w:t>
            </w:r>
            <w:r>
              <w:rPr>
                <w:rFonts w:hint="eastAsia" w:ascii="宋体" w:hAnsi="宋体" w:eastAsia="宋体" w:cs="宋体"/>
                <w:color w:val="auto"/>
                <w:sz w:val="24"/>
                <w:lang w:bidi="ar"/>
              </w:rPr>
              <w:t>定为非达标区。</w:t>
            </w:r>
          </w:p>
          <w:p>
            <w:pPr>
              <w:spacing w:line="360" w:lineRule="auto"/>
              <w:ind w:firstLine="480" w:firstLineChars="200"/>
              <w:rPr>
                <w:rFonts w:hint="default" w:ascii="宋体" w:hAnsi="宋体" w:eastAsia="宋体" w:cs="宋体"/>
                <w:color w:val="auto"/>
                <w:sz w:val="24"/>
                <w:lang w:bidi="ar"/>
              </w:rPr>
            </w:pPr>
            <w:r>
              <w:rPr>
                <w:rFonts w:hint="eastAsia" w:ascii="宋体" w:hAnsi="宋体" w:eastAsia="宋体" w:cs="宋体"/>
                <w:color w:val="auto"/>
                <w:sz w:val="24"/>
                <w:lang w:val="en-US" w:eastAsia="zh-CN" w:bidi="ar"/>
              </w:rPr>
              <w:t>②</w:t>
            </w:r>
            <w:r>
              <w:rPr>
                <w:rFonts w:hint="eastAsia" w:ascii="宋体" w:hAnsi="宋体" w:eastAsia="宋体" w:cs="宋体"/>
                <w:color w:val="auto"/>
                <w:sz w:val="24"/>
                <w:lang w:bidi="ar"/>
              </w:rPr>
              <w:t>区域削减</w:t>
            </w:r>
          </w:p>
          <w:p>
            <w:pPr>
              <w:spacing w:line="360" w:lineRule="auto"/>
              <w:ind w:firstLine="480" w:firstLineChars="200"/>
              <w:rPr>
                <w:rFonts w:ascii="Times New Roman" w:hAnsi="Times New Roman" w:eastAsia="宋体" w:cs="Times New Roman"/>
                <w:color w:val="auto"/>
                <w:sz w:val="24"/>
              </w:rPr>
            </w:pPr>
            <w:r>
              <w:rPr>
                <w:rFonts w:hint="eastAsia" w:ascii="宋体" w:hAnsi="宋体" w:eastAsia="宋体" w:cs="宋体"/>
                <w:color w:val="auto"/>
                <w:sz w:val="24"/>
                <w:lang w:bidi="ar"/>
              </w:rPr>
              <w:t>为切实做好2018年大气污染防治工作，改善全市空气环境质量，中共常州市委、常州市人民政府印发了《常州市2018年大气污染防治攻坚行动方案》，提出的工作内容包括降低燃煤消耗量、对工业企业采取强制减排措施、加强工业烟气污染治理、实施颗粒物无组织排放深度整治、全面排查与达标排放、扎实推进重点行业挥发性有机物（VOCs）治理、提高城市管理水平、加强移动源污染防治、加大产业结构调整力度等。工作目标为6-12月全市主要污染物平均减排比例不低于43%，到2018年底，市区空气质量二级以上优良天数比例达到</w:t>
            </w:r>
            <w:r>
              <w:rPr>
                <w:rFonts w:ascii="Times New Roman" w:hAnsi="Times New Roman" w:eastAsia="宋体" w:cs="Times New Roman"/>
                <w:color w:val="auto"/>
                <w:sz w:val="24"/>
                <w:lang w:bidi="ar"/>
              </w:rPr>
              <w:t>69.7%</w:t>
            </w:r>
            <w:r>
              <w:rPr>
                <w:rFonts w:hint="eastAsia" w:ascii="宋体" w:hAnsi="宋体" w:eastAsia="宋体" w:cs="宋体"/>
                <w:color w:val="auto"/>
                <w:sz w:val="24"/>
                <w:lang w:bidi="ar"/>
              </w:rPr>
              <w:t>以上，</w:t>
            </w:r>
            <w:r>
              <w:rPr>
                <w:rFonts w:ascii="Times New Roman" w:hAnsi="Times New Roman" w:eastAsia="宋体" w:cs="Times New Roman"/>
                <w:color w:val="auto"/>
                <w:sz w:val="24"/>
                <w:lang w:bidi="ar"/>
              </w:rPr>
              <w:t>P</w:t>
            </w:r>
            <w:r>
              <w:rPr>
                <w:rFonts w:ascii="Times New Roman" w:hAnsi="宋体" w:eastAsia="宋体" w:cs="Times New Roman"/>
                <w:color w:val="auto"/>
                <w:sz w:val="24"/>
                <w:lang w:bidi="ar"/>
              </w:rPr>
              <w:t>M</w:t>
            </w:r>
            <w:r>
              <w:rPr>
                <w:rFonts w:hint="eastAsia" w:ascii="Times New Roman" w:hAnsi="宋体" w:eastAsia="宋体" w:cs="Times New Roman"/>
                <w:color w:val="auto"/>
                <w:sz w:val="24"/>
                <w:vertAlign w:val="subscript"/>
                <w:lang w:bidi="ar"/>
              </w:rPr>
              <w:t>2.5</w:t>
            </w:r>
            <w:r>
              <w:rPr>
                <w:rFonts w:hint="eastAsia" w:ascii="宋体" w:hAnsi="宋体" w:eastAsia="宋体" w:cs="宋体"/>
                <w:color w:val="auto"/>
                <w:sz w:val="24"/>
                <w:lang w:bidi="ar"/>
              </w:rPr>
              <w:t>年均浓度控制在</w:t>
            </w:r>
            <w:r>
              <w:rPr>
                <w:rFonts w:ascii="Times New Roman" w:hAnsi="Times New Roman" w:eastAsia="宋体" w:cs="Times New Roman"/>
                <w:color w:val="auto"/>
                <w:sz w:val="24"/>
                <w:lang w:bidi="ar"/>
              </w:rPr>
              <w:t>47</w:t>
            </w:r>
            <w:r>
              <w:rPr>
                <w:rFonts w:hint="eastAsia" w:ascii="宋体" w:hAnsi="宋体" w:eastAsia="宋体" w:cs="宋体"/>
                <w:color w:val="auto"/>
                <w:sz w:val="24"/>
                <w:lang w:bidi="ar"/>
              </w:rPr>
              <w:t>微克</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立方米以下。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）地表水质量现状</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监测结果表明，</w:t>
            </w:r>
            <w:r>
              <w:rPr>
                <w:rFonts w:hint="eastAsia" w:ascii="Times New Roman" w:hAnsi="Times New Roman" w:eastAsia="宋体" w:cs="Times New Roman"/>
                <w:color w:val="auto"/>
                <w:sz w:val="24"/>
                <w:lang w:val="en-US" w:eastAsia="zh-CN" w:bidi="ar"/>
              </w:rPr>
              <w:t>采菱港</w:t>
            </w:r>
            <w:r>
              <w:rPr>
                <w:rFonts w:ascii="Times New Roman" w:hAnsi="Times New Roman" w:eastAsia="宋体" w:cs="Times New Roman"/>
                <w:color w:val="auto"/>
                <w:sz w:val="24"/>
                <w:lang w:bidi="ar"/>
              </w:rPr>
              <w:t>监测断面的各监测因子均能达到《地表水环境质量标准》中Ⅳ</w:t>
            </w:r>
            <w:r>
              <w:rPr>
                <w:rFonts w:hint="eastAsia" w:ascii="宋体" w:hAnsi="宋体" w:eastAsia="宋体" w:cs="宋体"/>
                <w:color w:val="auto"/>
                <w:sz w:val="24"/>
                <w:lang w:bidi="ar"/>
              </w:rPr>
              <w:t>类地表水标准限值。</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）声环境质量现状</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项目所在地经四周厂界</w:t>
            </w:r>
            <w:r>
              <w:rPr>
                <w:rFonts w:hint="eastAsia" w:ascii="Times New Roman" w:hAnsi="Times New Roman" w:eastAsia="宋体" w:cs="Times New Roman"/>
                <w:color w:val="auto"/>
                <w:sz w:val="24"/>
                <w:lang w:val="en-US" w:eastAsia="zh-CN" w:bidi="ar"/>
              </w:rPr>
              <w:t>及藤树科</w:t>
            </w:r>
            <w:r>
              <w:rPr>
                <w:rFonts w:ascii="Times New Roman" w:hAnsi="Times New Roman" w:eastAsia="宋体" w:cs="Times New Roman"/>
                <w:color w:val="auto"/>
                <w:sz w:val="24"/>
                <w:lang w:bidi="ar"/>
              </w:rPr>
              <w:t>噪声均符合《声环境质量标准》（GB3096-2008</w:t>
            </w:r>
            <w:r>
              <w:rPr>
                <w:rFonts w:hint="eastAsia" w:ascii="宋体" w:hAnsi="宋体" w:eastAsia="宋体" w:cs="宋体"/>
                <w:color w:val="auto"/>
                <w:sz w:val="24"/>
                <w:lang w:bidi="ar"/>
              </w:rPr>
              <w:t>）中的</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5</w:t>
            </w:r>
            <w:r>
              <w:rPr>
                <w:rFonts w:hint="eastAsia" w:ascii="宋体" w:hAnsi="宋体" w:eastAsia="宋体" w:cs="宋体"/>
                <w:b/>
                <w:color w:val="auto"/>
                <w:sz w:val="24"/>
                <w:lang w:bidi="ar"/>
              </w:rPr>
              <w:t>、污染物可达标排放</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本项目无生产废水产生及排放；本项目不新增生活污水。</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本项目生物质燃料燃烧粉尘经水膜除尘处理后经20m高的1#排气筒排放；制粒和冷却工段新增颗粒物依托已有的布袋除尘装置处理后在车间内无组织排放。</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本项目</w:t>
            </w:r>
            <w:r>
              <w:rPr>
                <w:rFonts w:hint="eastAsia" w:ascii="Times New Roman" w:hAnsi="Times New Roman" w:eastAsia="宋体" w:cs="Times New Roman"/>
                <w:color w:val="auto"/>
                <w:sz w:val="24"/>
                <w:lang w:val="en-US" w:eastAsia="zh-CN" w:bidi="ar"/>
              </w:rPr>
              <w:t>水膜除尘收集的粉尘</w:t>
            </w:r>
            <w:r>
              <w:rPr>
                <w:rFonts w:ascii="Times New Roman" w:hAnsi="Times New Roman" w:eastAsia="宋体" w:cs="Times New Roman"/>
                <w:color w:val="auto"/>
                <w:sz w:val="24"/>
                <w:lang w:bidi="ar"/>
              </w:rPr>
              <w:t>委外综合利用。故本项目所有固废都得到合理的处置或综合利用，对环境不产生二次污染。</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噪声源主要来自</w:t>
            </w:r>
            <w:r>
              <w:rPr>
                <w:rFonts w:hint="eastAsia" w:ascii="Times New Roman" w:hAnsi="Times New Roman" w:eastAsia="宋体" w:cs="Times New Roman"/>
                <w:color w:val="auto"/>
                <w:sz w:val="24"/>
                <w:lang w:val="en-US" w:eastAsia="zh-CN" w:bidi="ar"/>
              </w:rPr>
              <w:t>烘干机、热风炉、风机</w:t>
            </w:r>
            <w:r>
              <w:rPr>
                <w:rFonts w:ascii="Times New Roman" w:hAnsi="Times New Roman" w:eastAsia="宋体" w:cs="Times New Roman"/>
                <w:color w:val="auto"/>
                <w:sz w:val="24"/>
                <w:lang w:bidi="ar"/>
              </w:rPr>
              <w:t>等设备，建设单位在生产线上均选用符合噪声要求的设备等，噪声经过隔声、减震、绿化等治理四周厂界可达到《工业企业厂界环境噪声排放标准》（GB12348-2008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通过以上分析，本项目生产过程中产生的“</w:t>
            </w:r>
            <w:r>
              <w:rPr>
                <w:rFonts w:hint="eastAsia" w:ascii="宋体" w:hAnsi="宋体" w:eastAsia="宋体" w:cs="宋体"/>
                <w:color w:val="auto"/>
                <w:sz w:val="24"/>
                <w:lang w:bidi="ar"/>
              </w:rPr>
              <w:t>三废</w:t>
            </w:r>
            <w:r>
              <w:rPr>
                <w:rFonts w:ascii="Times New Roman" w:hAnsi="Times New Roman" w:eastAsia="宋体" w:cs="Times New Roman"/>
                <w:color w:val="auto"/>
                <w:sz w:val="24"/>
                <w:lang w:bidi="ar"/>
              </w:rPr>
              <w:t>”</w:t>
            </w:r>
            <w:r>
              <w:rPr>
                <w:rFonts w:hint="eastAsia" w:ascii="宋体" w:hAnsi="宋体" w:eastAsia="宋体" w:cs="宋体"/>
                <w:color w:val="auto"/>
                <w:sz w:val="24"/>
                <w:lang w:bidi="ar"/>
              </w:rPr>
              <w:t>经处理后可达标排放，企业控制方法和分析设备齐全，质量保证体系完善，能够维持污染防治设施的正常运行。</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6</w:t>
            </w:r>
            <w:r>
              <w:rPr>
                <w:rFonts w:hint="eastAsia" w:ascii="宋体" w:hAnsi="宋体" w:eastAsia="宋体" w:cs="宋体"/>
                <w:b/>
                <w:color w:val="auto"/>
                <w:sz w:val="24"/>
                <w:lang w:bidi="ar"/>
              </w:rPr>
              <w:t>、环境影响分析结论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废气：</w:t>
            </w:r>
            <w:r>
              <w:rPr>
                <w:rFonts w:hint="default" w:ascii="Times New Roman" w:hAnsi="Times New Roman" w:eastAsia="宋体" w:cs="Times New Roman"/>
                <w:color w:val="auto"/>
                <w:sz w:val="24"/>
                <w:lang w:bidi="ar"/>
              </w:rPr>
              <w:t>本项目产生废气经处理后对周围环境的影响较小，大气环境影响可接受，全厂设置防护距离为以生产车间外扩</w:t>
            </w:r>
            <w:r>
              <w:rPr>
                <w:rFonts w:hint="eastAsia" w:ascii="Times New Roman" w:hAnsi="Times New Roman" w:eastAsia="宋体" w:cs="Times New Roman"/>
                <w:color w:val="auto"/>
                <w:sz w:val="24"/>
                <w:lang w:val="en-US" w:eastAsia="zh-CN" w:bidi="ar"/>
              </w:rPr>
              <w:t>5</w:t>
            </w:r>
            <w:r>
              <w:rPr>
                <w:rFonts w:hint="default" w:ascii="Times New Roman" w:hAnsi="Times New Roman" w:eastAsia="宋体" w:cs="Times New Roman"/>
                <w:color w:val="auto"/>
                <w:sz w:val="24"/>
                <w:lang w:bidi="ar"/>
              </w:rPr>
              <w:t>0米形成的包络线，该卫生防护距离包络线范围内无敏感保护目标，以后也不得在卫生防护距离内建设居住区等环境敏感目标，以避免环境纠纷。</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废水：</w:t>
            </w:r>
            <w:r>
              <w:rPr>
                <w:rFonts w:hint="eastAsia" w:ascii="Times New Roman" w:hAnsi="Times New Roman" w:eastAsia="宋体" w:cs="Times New Roman"/>
                <w:color w:val="auto"/>
                <w:sz w:val="24"/>
                <w:lang w:bidi="ar"/>
              </w:rPr>
              <w:t>本项目无生产废水产生及排放；本项目不新增生活污水。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噪声：本项目噪声源主要来自</w:t>
            </w:r>
            <w:r>
              <w:rPr>
                <w:rFonts w:hint="eastAsia" w:ascii="Times New Roman" w:hAnsi="Times New Roman" w:eastAsia="宋体" w:cs="Times New Roman"/>
                <w:color w:val="auto"/>
                <w:sz w:val="24"/>
                <w:lang w:val="en-US" w:eastAsia="zh-CN" w:bidi="ar"/>
              </w:rPr>
              <w:t>烘干机、热风炉、风机</w:t>
            </w:r>
            <w:r>
              <w:rPr>
                <w:rFonts w:ascii="Times New Roman" w:hAnsi="Times New Roman" w:eastAsia="宋体" w:cs="Times New Roman"/>
                <w:color w:val="auto"/>
                <w:sz w:val="24"/>
                <w:lang w:bidi="ar"/>
              </w:rPr>
              <w:t>等设备，建设单位在生产线上均选用符合噪声要求的设备等，噪声经过隔声、减震、绿化等治理四周厂界可达到《工业企业厂界环境噪声排放标准》（GB12348-2008</w:t>
            </w:r>
            <w:r>
              <w:rPr>
                <w:rFonts w:hint="eastAsia" w:ascii="宋体" w:hAnsi="宋体" w:eastAsia="宋体" w:cs="宋体"/>
                <w:color w:val="auto"/>
                <w:sz w:val="24"/>
                <w:lang w:bidi="ar"/>
              </w:rPr>
              <w:t>）</w:t>
            </w: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类标准</w:t>
            </w:r>
            <w:r>
              <w:rPr>
                <w:rFonts w:ascii="Times New Roman" w:hAnsi="Times New Roman" w:eastAsia="宋体" w:cs="Times New Roman"/>
                <w:color w:val="auto"/>
                <w:sz w:val="24"/>
                <w:lang w:bidi="ar"/>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固废：本项目</w:t>
            </w:r>
            <w:r>
              <w:rPr>
                <w:rFonts w:hint="eastAsia" w:ascii="Times New Roman" w:hAnsi="Times New Roman" w:eastAsia="宋体" w:cs="Times New Roman"/>
                <w:color w:val="auto"/>
                <w:sz w:val="24"/>
                <w:lang w:val="en-US" w:eastAsia="zh-CN" w:bidi="ar"/>
              </w:rPr>
              <w:t>水膜除尘收集的粉尘</w:t>
            </w:r>
            <w:r>
              <w:rPr>
                <w:rFonts w:ascii="Times New Roman" w:hAnsi="Times New Roman" w:eastAsia="宋体" w:cs="Times New Roman"/>
                <w:color w:val="auto"/>
                <w:sz w:val="24"/>
                <w:lang w:bidi="ar"/>
              </w:rPr>
              <w:t>委外综合利用。故本项目所有固废都得到合理的处置或综合利用，对环境不产生二次污染。</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7</w:t>
            </w:r>
            <w:r>
              <w:rPr>
                <w:rFonts w:hint="eastAsia" w:ascii="宋体" w:hAnsi="宋体" w:eastAsia="宋体" w:cs="宋体"/>
                <w:b/>
                <w:color w:val="auto"/>
                <w:sz w:val="24"/>
                <w:lang w:bidi="ar"/>
              </w:rPr>
              <w:t>、风险评价结论</w:t>
            </w:r>
          </w:p>
          <w:p>
            <w:pPr>
              <w:pStyle w:val="17"/>
              <w:spacing w:line="360" w:lineRule="auto"/>
              <w:ind w:firstLine="480" w:firstLineChars="200"/>
              <w:rPr>
                <w:rFonts w:hint="eastAsia" w:ascii="Times New Roman" w:hAnsi="Times New Roman" w:cs="Times New Roman"/>
                <w:color w:val="auto"/>
                <w:sz w:val="24"/>
                <w:lang w:val="en-US" w:eastAsia="zh-CN"/>
              </w:rPr>
            </w:pPr>
            <w:r>
              <w:rPr>
                <w:rFonts w:hint="default" w:ascii="Times New Roman" w:hAnsi="Times New Roman" w:eastAsia="宋体" w:cs="Times New Roman"/>
                <w:color w:val="auto"/>
                <w:sz w:val="24"/>
                <w:lang w:val="en-US" w:eastAsia="zh-CN"/>
              </w:rPr>
              <w:t>本项目Q</w:t>
            </w:r>
            <w:r>
              <w:rPr>
                <w:rFonts w:hint="eastAsia" w:ascii="Times New Roman" w:hAnsi="Times New Roman" w:cs="Times New Roman"/>
                <w:color w:val="auto"/>
                <w:sz w:val="24"/>
                <w:lang w:val="en-US" w:eastAsia="zh-CN"/>
              </w:rPr>
              <w:t>=0</w:t>
            </w:r>
            <w:r>
              <w:rPr>
                <w:rFonts w:hint="default" w:ascii="Times New Roman" w:hAnsi="Times New Roman" w:eastAsia="宋体" w:cs="Times New Roman"/>
                <w:color w:val="auto"/>
                <w:sz w:val="24"/>
                <w:lang w:val="en-US" w:eastAsia="zh-CN"/>
              </w:rPr>
              <w:t>，环境风险势能直接判断为I等级</w:t>
            </w:r>
            <w:r>
              <w:rPr>
                <w:rFonts w:hint="eastAsia" w:ascii="Times New Roman" w:hAnsi="Times New Roman" w:cs="Times New Roman"/>
                <w:color w:val="auto"/>
                <w:sz w:val="24"/>
                <w:lang w:val="en-US" w:eastAsia="zh-CN"/>
              </w:rPr>
              <w:t>。本项目具有一定的环境风险，建立健全安全环境管理制度，做好相关的风险防范措施。</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8</w:t>
            </w:r>
            <w:r>
              <w:rPr>
                <w:rFonts w:hint="eastAsia" w:ascii="宋体" w:hAnsi="宋体" w:eastAsia="宋体" w:cs="宋体"/>
                <w:b/>
                <w:color w:val="auto"/>
                <w:sz w:val="24"/>
                <w:lang w:bidi="ar"/>
              </w:rPr>
              <w:t>、总量控制指标结论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根据《常州市建设项目主要污染物排放总量指标审核及管理实施细则》（常政办发[2015]104号）：“建设项目主要污染物排放总量指标按工程减排类项目2倍削减量替代或关闭类项目1.5倍削减量替代。”本项目建成后有组织排放的大气污染物：</w:t>
            </w:r>
            <w:r>
              <w:rPr>
                <w:rFonts w:hint="eastAsia" w:ascii="Times New Roman" w:hAnsi="Times New Roman" w:eastAsia="宋体" w:cs="Times New Roman"/>
                <w:color w:val="auto"/>
                <w:sz w:val="24"/>
                <w:lang w:val="en-US" w:eastAsia="zh-CN"/>
              </w:rPr>
              <w:t>颗粒物</w:t>
            </w:r>
            <w:r>
              <w:rPr>
                <w:rFonts w:hint="default" w:ascii="Times New Roman" w:hAnsi="Times New Roman" w:eastAsia="宋体" w:cs="Times New Roman"/>
                <w:color w:val="auto"/>
                <w:sz w:val="24"/>
              </w:rPr>
              <w:t xml:space="preserve"> </w:t>
            </w:r>
            <w:r>
              <w:rPr>
                <w:rFonts w:hint="default" w:ascii="Times New Roman" w:hAnsi="Times New Roman" w:eastAsia="宋体" w:cs="Times New Roman"/>
                <w:color w:val="auto"/>
                <w:sz w:val="24"/>
                <w:lang w:val="en-US" w:eastAsia="zh-CN"/>
              </w:rPr>
              <w:t>0.0</w:t>
            </w:r>
            <w:r>
              <w:rPr>
                <w:rFonts w:hint="eastAsia"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NO</w:t>
            </w:r>
            <w:r>
              <w:rPr>
                <w:rFonts w:hint="eastAsia" w:ascii="Times New Roman" w:hAnsi="Times New Roman" w:eastAsia="宋体" w:cs="Times New Roman"/>
                <w:color w:val="auto"/>
                <w:sz w:val="24"/>
                <w:vertAlign w:val="subscript"/>
                <w:lang w:val="en-US" w:eastAsia="zh-CN"/>
              </w:rPr>
              <w:t>X</w:t>
            </w:r>
            <w:r>
              <w:rPr>
                <w:rFonts w:hint="eastAsia" w:ascii="Times New Roman" w:hAnsi="Times New Roman" w:eastAsia="宋体" w:cs="Times New Roman"/>
                <w:color w:val="auto"/>
                <w:sz w:val="24"/>
                <w:vertAlign w:val="baseline"/>
                <w:lang w:val="en-US" w:eastAsia="zh-CN"/>
              </w:rPr>
              <w:t xml:space="preserve"> 0.612t/a</w:t>
            </w:r>
            <w:r>
              <w:rPr>
                <w:rFonts w:hint="default" w:ascii="Times New Roman" w:hAnsi="Times New Roman" w:eastAsia="宋体" w:cs="Times New Roman"/>
                <w:color w:val="auto"/>
                <w:sz w:val="24"/>
              </w:rPr>
              <w:t>需申请总量</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需在武进区内实现区域平衡</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固废：本项目产生的固废均进行合理处理，实行固体废弃物零排放，不单独申请总量。</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p>
            <w:pPr>
              <w:spacing w:line="360" w:lineRule="auto"/>
              <w:ind w:firstLine="482" w:firstLineChars="200"/>
              <w:rPr>
                <w:rFonts w:ascii="Times New Roman" w:hAnsi="Times New Roman" w:eastAsia="宋体" w:cs="Times New Roman"/>
                <w:b/>
                <w:color w:val="auto"/>
                <w:sz w:val="24"/>
              </w:rPr>
            </w:pPr>
            <w:r>
              <w:rPr>
                <w:rFonts w:ascii="Times New Roman" w:hAnsi="Times New Roman" w:eastAsia="宋体" w:cs="Times New Roman"/>
                <w:b/>
                <w:color w:val="auto"/>
                <w:sz w:val="24"/>
                <w:lang w:bidi="ar"/>
              </w:rPr>
              <w:t>二、建议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1</w:t>
            </w:r>
            <w:r>
              <w:rPr>
                <w:rFonts w:hint="eastAsia" w:ascii="宋体" w:hAnsi="宋体" w:eastAsia="宋体" w:cs="宋体"/>
                <w:color w:val="auto"/>
                <w:sz w:val="24"/>
                <w:lang w:bidi="ar"/>
              </w:rPr>
              <w:t>、加强施工期环境管理，合理安排施工时间。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2</w:t>
            </w:r>
            <w:r>
              <w:rPr>
                <w:rFonts w:hint="eastAsia" w:ascii="宋体" w:hAnsi="宋体" w:eastAsia="宋体" w:cs="宋体"/>
                <w:color w:val="auto"/>
                <w:sz w:val="24"/>
                <w:lang w:bidi="ar"/>
              </w:rPr>
              <w:t>、合理布局噪声设备，加强设备噪声设治理，尽量减轻噪声及振动对环境的影响。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bidi="ar"/>
              </w:rPr>
              <w:t>3</w:t>
            </w:r>
            <w:r>
              <w:rPr>
                <w:rFonts w:hint="eastAsia" w:ascii="宋体" w:hAnsi="宋体" w:eastAsia="宋体" w:cs="宋体"/>
                <w:color w:val="auto"/>
                <w:sz w:val="24"/>
                <w:lang w:bidi="ar"/>
              </w:rPr>
              <w:t>、加强环保设施的维护和管理，保证设备正常运行。</w:t>
            </w:r>
          </w:p>
          <w:p>
            <w:pPr>
              <w:spacing w:line="360" w:lineRule="auto"/>
              <w:ind w:firstLine="480" w:firstLineChars="200"/>
              <w:rPr>
                <w:rFonts w:ascii="Times New Roman" w:hAnsi="Times New Roman" w:eastAsia="宋体" w:cs="Times New Roman"/>
                <w:color w:val="auto"/>
                <w:sz w:val="24"/>
              </w:rPr>
            </w:pPr>
          </w:p>
        </w:tc>
      </w:tr>
    </w:tbl>
    <w:p>
      <w:pPr>
        <w:rPr>
          <w:rFonts w:ascii="Times New Roman" w:hAnsi="Times New Roman" w:eastAsia="宋体" w:cs="Times New Roman"/>
          <w:color w:val="auto"/>
          <w:sz w:val="24"/>
        </w:rPr>
        <w:sectPr>
          <w:pgSz w:w="11906" w:h="16838"/>
          <w:pgMar w:top="1440" w:right="1800" w:bottom="1440" w:left="1800" w:header="851" w:footer="992" w:gutter="0"/>
          <w:pgNumType w:fmt="decimal"/>
          <w:cols w:space="425" w:num="1"/>
          <w:docGrid w:type="lines" w:linePitch="312" w:charSpace="0"/>
        </w:sectPr>
      </w:pPr>
    </w:p>
    <w:tbl>
      <w:tblPr>
        <w:tblStyle w:val="16"/>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12"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预审意见：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3"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下一级环境保护行政主管部门审查意见：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70" w:hRule="atLeast"/>
        </w:trPr>
        <w:tc>
          <w:tcPr>
            <w:tcW w:w="8296" w:type="dxa"/>
            <w:tcBorders>
              <w:top w:val="single" w:color="auto" w:sz="6" w:space="0"/>
              <w:left w:val="single" w:color="auto" w:sz="12" w:space="0"/>
              <w:bottom w:val="single" w:color="auto" w:sz="6" w:space="0"/>
              <w:right w:val="single" w:color="auto" w:sz="12" w:space="0"/>
            </w:tcBorders>
            <w:shd w:val="clear" w:color="auto" w:fill="auto"/>
          </w:tcPr>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审批意见：</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公章</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经办：                  签发：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96" w:type="dxa"/>
            <w:tcBorders>
              <w:top w:val="single" w:color="auto" w:sz="6" w:space="0"/>
              <w:left w:val="single" w:color="auto" w:sz="12" w:space="0"/>
              <w:bottom w:val="single" w:color="auto" w:sz="12" w:space="0"/>
              <w:right w:val="single" w:color="auto" w:sz="12" w:space="0"/>
            </w:tcBorders>
            <w:shd w:val="clear" w:color="auto" w:fill="auto"/>
          </w:tcPr>
          <w:p>
            <w:pPr>
              <w:snapToGrid w:val="0"/>
              <w:spacing w:line="360" w:lineRule="auto"/>
              <w:ind w:firstLine="480" w:firstLineChars="2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注释</w:t>
            </w:r>
          </w:p>
          <w:p>
            <w:pPr>
              <w:snapToGrid w:val="0"/>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1.本报告表应附以下附件、附图：</w:t>
            </w:r>
          </w:p>
          <w:p>
            <w:pPr>
              <w:snapToGrid w:val="0"/>
              <w:spacing w:line="360" w:lineRule="auto"/>
              <w:ind w:firstLine="482" w:firstLineChars="200"/>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lang w:bidi="ar"/>
              </w:rPr>
              <w:t>附件：</w:t>
            </w:r>
          </w:p>
          <w:p>
            <w:pPr>
              <w:spacing w:line="450" w:lineRule="exact"/>
              <w:ind w:firstLine="480" w:firstLineChars="200"/>
              <w:rPr>
                <w:b w:val="0"/>
                <w:bCs/>
                <w:color w:val="000000"/>
                <w:sz w:val="24"/>
                <w:szCs w:val="24"/>
              </w:rPr>
            </w:pPr>
            <w:r>
              <w:rPr>
                <w:b w:val="0"/>
                <w:bCs/>
                <w:color w:val="000000"/>
                <w:sz w:val="24"/>
                <w:szCs w:val="24"/>
              </w:rPr>
              <w:t xml:space="preserve">附件1    </w:t>
            </w:r>
            <w:r>
              <w:rPr>
                <w:rFonts w:hint="eastAsia"/>
                <w:b w:val="0"/>
                <w:bCs/>
                <w:color w:val="000000"/>
                <w:sz w:val="24"/>
                <w:szCs w:val="24"/>
              </w:rPr>
              <w:t>环评委托书/法人授权委托书</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 xml:space="preserve">附件2    </w:t>
            </w:r>
            <w:r>
              <w:rPr>
                <w:rFonts w:hint="eastAsia"/>
                <w:b w:val="0"/>
                <w:bCs/>
                <w:color w:val="000000"/>
                <w:sz w:val="24"/>
                <w:szCs w:val="24"/>
                <w:lang w:val="en-US" w:eastAsia="zh-CN"/>
              </w:rPr>
              <w:t>备案证；</w:t>
            </w:r>
          </w:p>
          <w:p>
            <w:pPr>
              <w:spacing w:line="450" w:lineRule="exact"/>
              <w:ind w:firstLine="480" w:firstLineChars="200"/>
              <w:rPr>
                <w:b w:val="0"/>
                <w:bCs/>
                <w:color w:val="000000"/>
                <w:sz w:val="24"/>
                <w:szCs w:val="24"/>
              </w:rPr>
            </w:pPr>
            <w:r>
              <w:rPr>
                <w:b w:val="0"/>
                <w:bCs/>
                <w:color w:val="000000"/>
                <w:sz w:val="24"/>
                <w:szCs w:val="24"/>
              </w:rPr>
              <w:t xml:space="preserve">附件3    </w:t>
            </w:r>
            <w:r>
              <w:rPr>
                <w:rFonts w:hint="eastAsia"/>
                <w:b w:val="0"/>
                <w:bCs/>
                <w:color w:val="000000"/>
                <w:sz w:val="24"/>
                <w:szCs w:val="24"/>
              </w:rPr>
              <w:t>企业法人营业执照</w:t>
            </w:r>
            <w:r>
              <w:rPr>
                <w:b w:val="0"/>
                <w:bCs/>
                <w:color w:val="000000"/>
                <w:sz w:val="24"/>
                <w:szCs w:val="24"/>
              </w:rPr>
              <w:t>；</w:t>
            </w:r>
          </w:p>
          <w:p>
            <w:pPr>
              <w:spacing w:line="450" w:lineRule="exact"/>
              <w:ind w:left="1679" w:leftChars="228" w:hanging="1200" w:hangingChars="500"/>
              <w:rPr>
                <w:b w:val="0"/>
                <w:bCs/>
                <w:color w:val="000000"/>
                <w:sz w:val="24"/>
                <w:szCs w:val="24"/>
              </w:rPr>
            </w:pPr>
            <w:r>
              <w:rPr>
                <w:b w:val="0"/>
                <w:bCs/>
                <w:color w:val="000000"/>
                <w:sz w:val="24"/>
                <w:szCs w:val="24"/>
              </w:rPr>
              <w:t xml:space="preserve">附件4    </w:t>
            </w:r>
            <w:r>
              <w:rPr>
                <w:rFonts w:hint="eastAsia"/>
                <w:b w:val="0"/>
                <w:bCs/>
                <w:color w:val="000000"/>
                <w:sz w:val="24"/>
                <w:szCs w:val="24"/>
              </w:rPr>
              <w:t>土地手续</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w:t>
            </w:r>
            <w:r>
              <w:rPr>
                <w:rFonts w:hint="eastAsia"/>
                <w:b w:val="0"/>
                <w:bCs/>
                <w:color w:val="000000"/>
                <w:sz w:val="24"/>
                <w:szCs w:val="24"/>
                <w:lang w:val="en-US" w:eastAsia="zh-CN"/>
              </w:rPr>
              <w:t>5</w:t>
            </w:r>
            <w:r>
              <w:rPr>
                <w:b w:val="0"/>
                <w:bCs/>
                <w:color w:val="000000"/>
                <w:sz w:val="24"/>
                <w:szCs w:val="24"/>
              </w:rPr>
              <w:t xml:space="preserve">    </w:t>
            </w:r>
            <w:r>
              <w:rPr>
                <w:rFonts w:hint="eastAsia"/>
                <w:b w:val="0"/>
                <w:bCs/>
                <w:color w:val="000000"/>
                <w:sz w:val="24"/>
                <w:szCs w:val="24"/>
              </w:rPr>
              <w:t>污水接管</w:t>
            </w:r>
            <w:r>
              <w:rPr>
                <w:rFonts w:hint="eastAsia"/>
                <w:b w:val="0"/>
                <w:bCs/>
                <w:color w:val="000000"/>
                <w:sz w:val="24"/>
                <w:szCs w:val="24"/>
                <w:lang w:val="en-US" w:eastAsia="zh-CN"/>
              </w:rPr>
              <w:t>证明；</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6</w:t>
            </w:r>
            <w:r>
              <w:rPr>
                <w:b w:val="0"/>
                <w:bCs/>
                <w:color w:val="000000"/>
                <w:sz w:val="24"/>
                <w:szCs w:val="24"/>
              </w:rPr>
              <w:t xml:space="preserve">    </w:t>
            </w:r>
            <w:r>
              <w:rPr>
                <w:rFonts w:hint="eastAsia"/>
                <w:b w:val="0"/>
                <w:bCs/>
                <w:color w:val="000000"/>
                <w:sz w:val="24"/>
                <w:szCs w:val="24"/>
              </w:rPr>
              <w:t>建设项目环境影响登记表</w:t>
            </w:r>
            <w:r>
              <w:rPr>
                <w:b w:val="0"/>
                <w:bCs/>
                <w:color w:val="000000"/>
                <w:sz w:val="24"/>
                <w:szCs w:val="24"/>
              </w:rPr>
              <w:t>；</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7</w:t>
            </w:r>
            <w:r>
              <w:rPr>
                <w:b w:val="0"/>
                <w:bCs/>
                <w:color w:val="000000"/>
                <w:sz w:val="24"/>
                <w:szCs w:val="24"/>
              </w:rPr>
              <w:t xml:space="preserve">    环境质量现状监测报告；</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8</w:t>
            </w:r>
            <w:r>
              <w:rPr>
                <w:b w:val="0"/>
                <w:bCs/>
                <w:color w:val="000000"/>
                <w:sz w:val="24"/>
                <w:szCs w:val="24"/>
              </w:rPr>
              <w:t xml:space="preserve">    </w:t>
            </w:r>
            <w:r>
              <w:rPr>
                <w:rFonts w:hint="eastAsia"/>
                <w:b w:val="0"/>
                <w:bCs/>
                <w:color w:val="000000"/>
                <w:sz w:val="24"/>
                <w:szCs w:val="24"/>
              </w:rPr>
              <w:t>编制主持人现场照片</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w:t>
            </w:r>
            <w:r>
              <w:rPr>
                <w:rFonts w:hint="eastAsia"/>
                <w:b w:val="0"/>
                <w:bCs/>
                <w:color w:val="000000"/>
                <w:sz w:val="24"/>
                <w:szCs w:val="24"/>
                <w:lang w:val="en-US" w:eastAsia="zh-CN"/>
              </w:rPr>
              <w:t>9</w:t>
            </w:r>
            <w:r>
              <w:rPr>
                <w:b w:val="0"/>
                <w:bCs/>
                <w:color w:val="000000"/>
                <w:sz w:val="24"/>
                <w:szCs w:val="24"/>
              </w:rPr>
              <w:t xml:space="preserve">   </w:t>
            </w:r>
            <w:r>
              <w:rPr>
                <w:rFonts w:hint="eastAsia"/>
                <w:b w:val="0"/>
                <w:bCs/>
                <w:color w:val="000000"/>
                <w:sz w:val="24"/>
                <w:szCs w:val="24"/>
                <w:lang w:val="en-US" w:eastAsia="zh-CN"/>
              </w:rPr>
              <w:t xml:space="preserve"> </w:t>
            </w:r>
            <w:r>
              <w:rPr>
                <w:rFonts w:hint="eastAsia"/>
                <w:b w:val="0"/>
                <w:bCs/>
                <w:color w:val="000000"/>
                <w:sz w:val="24"/>
                <w:szCs w:val="24"/>
              </w:rPr>
              <w:t>全文本公开证明材料</w:t>
            </w:r>
            <w:r>
              <w:rPr>
                <w:rFonts w:hint="eastAsia"/>
                <w:b w:val="0"/>
                <w:bCs/>
                <w:color w:val="000000"/>
                <w:sz w:val="24"/>
                <w:szCs w:val="24"/>
                <w:lang w:eastAsia="zh-CN"/>
              </w:rPr>
              <w:t>；</w:t>
            </w:r>
          </w:p>
          <w:p>
            <w:pPr>
              <w:spacing w:line="450" w:lineRule="exact"/>
              <w:ind w:firstLine="480" w:firstLineChars="200"/>
              <w:rPr>
                <w:b w:val="0"/>
                <w:bCs/>
                <w:color w:val="000000"/>
                <w:sz w:val="24"/>
                <w:szCs w:val="24"/>
              </w:rPr>
            </w:pPr>
            <w:r>
              <w:rPr>
                <w:b w:val="0"/>
                <w:bCs/>
                <w:color w:val="000000"/>
                <w:sz w:val="24"/>
                <w:szCs w:val="24"/>
              </w:rPr>
              <w:t>附件</w:t>
            </w:r>
            <w:r>
              <w:rPr>
                <w:rFonts w:hint="eastAsia"/>
                <w:b w:val="0"/>
                <w:bCs/>
                <w:color w:val="000000"/>
                <w:sz w:val="24"/>
                <w:szCs w:val="24"/>
                <w:lang w:val="en-US" w:eastAsia="zh-CN"/>
              </w:rPr>
              <w:t>10</w:t>
            </w:r>
            <w:r>
              <w:rPr>
                <w:b w:val="0"/>
                <w:bCs/>
                <w:color w:val="000000"/>
                <w:sz w:val="24"/>
                <w:szCs w:val="24"/>
              </w:rPr>
              <w:t xml:space="preserve">   </w:t>
            </w:r>
            <w:r>
              <w:rPr>
                <w:rFonts w:hint="eastAsia"/>
                <w:b w:val="0"/>
                <w:bCs/>
                <w:color w:val="000000"/>
                <w:sz w:val="24"/>
                <w:szCs w:val="24"/>
              </w:rPr>
              <w:t>建设单位承诺书</w:t>
            </w:r>
            <w:r>
              <w:rPr>
                <w:b w:val="0"/>
                <w:bCs/>
                <w:color w:val="000000"/>
                <w:sz w:val="24"/>
                <w:szCs w:val="24"/>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附件1</w:t>
            </w:r>
            <w:r>
              <w:rPr>
                <w:rFonts w:hint="eastAsia"/>
                <w:b w:val="0"/>
                <w:bCs/>
                <w:color w:val="000000"/>
                <w:sz w:val="24"/>
                <w:szCs w:val="24"/>
                <w:lang w:val="en-US" w:eastAsia="zh-CN"/>
              </w:rPr>
              <w:t>1</w:t>
            </w:r>
            <w:r>
              <w:rPr>
                <w:b w:val="0"/>
                <w:bCs/>
                <w:color w:val="000000"/>
                <w:sz w:val="24"/>
                <w:szCs w:val="24"/>
              </w:rPr>
              <w:t xml:space="preserve">   </w:t>
            </w:r>
            <w:r>
              <w:rPr>
                <w:rFonts w:hint="eastAsia"/>
                <w:b w:val="0"/>
                <w:bCs/>
                <w:color w:val="000000"/>
                <w:sz w:val="24"/>
                <w:szCs w:val="24"/>
              </w:rPr>
              <w:t>建设项目环评审批基础信息表</w:t>
            </w:r>
            <w:r>
              <w:rPr>
                <w:rFonts w:hint="eastAsia"/>
                <w:b w:val="0"/>
                <w:bCs/>
                <w:color w:val="000000"/>
                <w:sz w:val="24"/>
                <w:szCs w:val="24"/>
                <w:lang w:eastAsia="zh-CN"/>
              </w:rPr>
              <w:t>；</w:t>
            </w:r>
          </w:p>
          <w:p>
            <w:pPr>
              <w:spacing w:line="450" w:lineRule="exact"/>
              <w:ind w:firstLine="480" w:firstLineChars="200"/>
              <w:rPr>
                <w:rFonts w:hint="eastAsia" w:eastAsiaTheme="minorEastAsia"/>
                <w:b w:val="0"/>
                <w:bCs/>
                <w:color w:val="000000"/>
                <w:sz w:val="24"/>
                <w:szCs w:val="24"/>
                <w:lang w:eastAsia="zh-CN"/>
              </w:rPr>
            </w:pPr>
            <w:r>
              <w:rPr>
                <w:b w:val="0"/>
                <w:bCs/>
                <w:color w:val="000000"/>
                <w:sz w:val="24"/>
                <w:szCs w:val="24"/>
              </w:rPr>
              <w:t>附件1</w:t>
            </w:r>
            <w:r>
              <w:rPr>
                <w:rFonts w:hint="eastAsia"/>
                <w:b w:val="0"/>
                <w:bCs/>
                <w:color w:val="000000"/>
                <w:sz w:val="24"/>
                <w:szCs w:val="24"/>
                <w:lang w:val="en-US" w:eastAsia="zh-CN"/>
              </w:rPr>
              <w:t>2</w:t>
            </w:r>
            <w:r>
              <w:rPr>
                <w:b w:val="0"/>
                <w:bCs/>
                <w:color w:val="000000"/>
                <w:sz w:val="24"/>
                <w:szCs w:val="24"/>
              </w:rPr>
              <w:t xml:space="preserve">   </w:t>
            </w:r>
            <w:r>
              <w:rPr>
                <w:rFonts w:hint="eastAsia"/>
                <w:b w:val="0"/>
                <w:bCs/>
                <w:color w:val="000000"/>
                <w:sz w:val="24"/>
                <w:szCs w:val="24"/>
                <w:lang w:val="en-US" w:eastAsia="zh-CN"/>
              </w:rPr>
              <w:t>大气</w:t>
            </w:r>
            <w:r>
              <w:rPr>
                <w:rFonts w:hint="eastAsia"/>
                <w:b w:val="0"/>
                <w:bCs/>
                <w:color w:val="000000"/>
                <w:sz w:val="24"/>
                <w:szCs w:val="24"/>
              </w:rPr>
              <w:t>环境影响评价自查表</w:t>
            </w:r>
            <w:r>
              <w:rPr>
                <w:rFonts w:hint="eastAsia"/>
                <w:b w:val="0"/>
                <w:bCs/>
                <w:color w:val="000000"/>
                <w:sz w:val="24"/>
                <w:szCs w:val="24"/>
                <w:lang w:eastAsia="zh-CN"/>
              </w:rPr>
              <w:t>。</w:t>
            </w:r>
          </w:p>
          <w:p>
            <w:pPr>
              <w:snapToGrid w:val="0"/>
              <w:spacing w:line="360" w:lineRule="auto"/>
              <w:ind w:firstLine="480" w:firstLineChars="200"/>
              <w:rPr>
                <w:rFonts w:hint="eastAsia" w:asciiTheme="minorEastAsia" w:hAnsiTheme="minorEastAsia" w:eastAsiaTheme="minorEastAsia" w:cstheme="minorEastAsia"/>
                <w:color w:val="auto"/>
                <w:sz w:val="24"/>
              </w:rPr>
            </w:pPr>
          </w:p>
          <w:p>
            <w:pPr>
              <w:snapToGrid w:val="0"/>
              <w:spacing w:line="360" w:lineRule="auto"/>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lang w:bidi="ar"/>
              </w:rPr>
              <w:t>附图：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附图1、项目地理位置图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附图2、项目周边</w:t>
            </w:r>
            <w:r>
              <w:rPr>
                <w:rFonts w:hint="eastAsia" w:asciiTheme="minorEastAsia" w:hAnsiTheme="minorEastAsia" w:cstheme="minorEastAsia"/>
                <w:color w:val="auto"/>
                <w:sz w:val="24"/>
                <w:lang w:val="en-US" w:eastAsia="zh-CN" w:bidi="ar"/>
              </w:rPr>
              <w:t>3</w:t>
            </w:r>
            <w:r>
              <w:rPr>
                <w:rFonts w:hint="eastAsia" w:asciiTheme="minorEastAsia" w:hAnsiTheme="minorEastAsia" w:eastAsiaTheme="minorEastAsia" w:cstheme="minorEastAsia"/>
                <w:color w:val="auto"/>
                <w:sz w:val="24"/>
                <w:lang w:bidi="ar"/>
              </w:rPr>
              <w:t>00m土地利用现状示意图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附图3、厂区平面布置图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附图4、常州市生态红线区域分布图</w:t>
            </w:r>
          </w:p>
          <w:p>
            <w:pPr>
              <w:spacing w:line="360" w:lineRule="auto"/>
              <w:ind w:firstLine="480" w:firstLineChars="200"/>
              <w:rPr>
                <w:rFonts w:hint="eastAsia" w:asciiTheme="minorEastAsia" w:hAnsiTheme="minorEastAsia" w:eastAsiaTheme="minorEastAsia" w:cstheme="minorEastAsia"/>
                <w:color w:val="auto"/>
                <w:sz w:val="24"/>
                <w:lang w:bidi="ar"/>
              </w:rPr>
            </w:pPr>
            <w:r>
              <w:rPr>
                <w:rFonts w:hint="eastAsia" w:asciiTheme="minorEastAsia" w:hAnsiTheme="minorEastAsia" w:eastAsiaTheme="minorEastAsia" w:cstheme="minorEastAsia"/>
                <w:color w:val="auto"/>
                <w:sz w:val="24"/>
                <w:lang w:bidi="ar"/>
              </w:rPr>
              <w:t>附图5、企业周边水系及水质监测断面图</w:t>
            </w:r>
          </w:p>
          <w:p>
            <w:pPr>
              <w:spacing w:line="360" w:lineRule="auto"/>
              <w:ind w:firstLine="480" w:firstLineChars="200"/>
              <w:rPr>
                <w:rFonts w:hint="eastAsia" w:asciiTheme="minorEastAsia" w:hAnsiTheme="minorEastAsia" w:eastAsiaTheme="minorEastAsia" w:cstheme="minorEastAsia"/>
                <w:color w:val="auto"/>
                <w:sz w:val="24"/>
                <w:lang w:val="en-US" w:eastAsia="zh-CN" w:bidi="ar"/>
              </w:rPr>
            </w:pPr>
            <w:r>
              <w:rPr>
                <w:rFonts w:hint="eastAsia" w:asciiTheme="minorEastAsia" w:hAnsiTheme="minorEastAsia" w:cstheme="minorEastAsia"/>
                <w:color w:val="auto"/>
                <w:sz w:val="24"/>
                <w:lang w:val="en-US" w:eastAsia="zh-CN" w:bidi="ar"/>
              </w:rPr>
              <w:t>附图6、嘉泽镇用地规划图</w:t>
            </w:r>
          </w:p>
          <w:p>
            <w:pPr>
              <w:spacing w:line="360" w:lineRule="auto"/>
              <w:ind w:firstLine="480" w:firstLineChars="200"/>
              <w:rPr>
                <w:rFonts w:hint="eastAsia" w:asciiTheme="minorEastAsia" w:hAnsiTheme="minorEastAsia" w:eastAsiaTheme="minorEastAsia" w:cstheme="minorEastAsia"/>
                <w:color w:val="auto"/>
                <w:sz w:val="24"/>
                <w:lang w:bidi="ar"/>
              </w:rPr>
            </w:pP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2.如果本报告表不能说明项目产生的污染及对环境造成的影响，应进行专项评价。根据建设项目的特点和当地环境特征，应选下列1-2项进行专项评价。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（1）大气环境影响专项评价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（2）水环境影响专项评价（包括地表水和地下水）</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（3）生态环境影响专项评价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（4）声影响专项评价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（5）土壤影响专项评价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（6）固体废弃物影响专项评价</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（7）辐射环境影响专项评价（包括电离辐射和电磁辐射）</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bidi="ar"/>
              </w:rPr>
              <w:t>以上专项评价未包括的可另列专项，专项评价按照《环境影响评价技术导则》中的要求进行。</w:t>
            </w:r>
          </w:p>
        </w:tc>
      </w:tr>
    </w:tbl>
    <w:p>
      <w:pPr>
        <w:spacing w:line="360" w:lineRule="auto"/>
        <w:ind w:firstLine="480" w:firstLineChars="200"/>
        <w:rPr>
          <w:rFonts w:ascii="Times New Roman" w:hAnsi="Times New Roman" w:eastAsia="宋体" w:cs="Times New Roman"/>
          <w:color w:val="auto"/>
          <w:sz w:val="24"/>
        </w:rPr>
      </w:pP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C823"/>
    <w:multiLevelType w:val="singleLevel"/>
    <w:tmpl w:val="5A66C823"/>
    <w:lvl w:ilvl="0" w:tentative="0">
      <w:start w:val="2"/>
      <w:numFmt w:val="decimal"/>
      <w:suff w:val="nothing"/>
      <w:lvlText w:val="（%1）"/>
      <w:lvlJc w:val="left"/>
    </w:lvl>
  </w:abstractNum>
  <w:abstractNum w:abstractNumId="1">
    <w:nsid w:val="663B946F"/>
    <w:multiLevelType w:val="multilevel"/>
    <w:tmpl w:val="663B946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030D4"/>
    <w:rsid w:val="00561C01"/>
    <w:rsid w:val="007F3728"/>
    <w:rsid w:val="00947B6C"/>
    <w:rsid w:val="00F41FF4"/>
    <w:rsid w:val="00FA24C5"/>
    <w:rsid w:val="01AC4BD2"/>
    <w:rsid w:val="025A1C3A"/>
    <w:rsid w:val="02F527A3"/>
    <w:rsid w:val="036D15C5"/>
    <w:rsid w:val="05B00C5A"/>
    <w:rsid w:val="07054A9A"/>
    <w:rsid w:val="07136033"/>
    <w:rsid w:val="085A02FC"/>
    <w:rsid w:val="08A22CE4"/>
    <w:rsid w:val="090F4264"/>
    <w:rsid w:val="09F018BD"/>
    <w:rsid w:val="0B2C34C1"/>
    <w:rsid w:val="0BD973F4"/>
    <w:rsid w:val="0C25703C"/>
    <w:rsid w:val="0C4D2649"/>
    <w:rsid w:val="0C633859"/>
    <w:rsid w:val="0CF63F9D"/>
    <w:rsid w:val="0D157309"/>
    <w:rsid w:val="0E7312E4"/>
    <w:rsid w:val="0FFD4720"/>
    <w:rsid w:val="11F133FE"/>
    <w:rsid w:val="12455073"/>
    <w:rsid w:val="15C30D89"/>
    <w:rsid w:val="16D36D32"/>
    <w:rsid w:val="16D847C7"/>
    <w:rsid w:val="19E30DA1"/>
    <w:rsid w:val="1B534831"/>
    <w:rsid w:val="1BCE7F5B"/>
    <w:rsid w:val="1BD12CC8"/>
    <w:rsid w:val="1C150746"/>
    <w:rsid w:val="1F727975"/>
    <w:rsid w:val="20030357"/>
    <w:rsid w:val="204408EC"/>
    <w:rsid w:val="20755B47"/>
    <w:rsid w:val="22B94F83"/>
    <w:rsid w:val="23CB22F7"/>
    <w:rsid w:val="24494F80"/>
    <w:rsid w:val="24707E3E"/>
    <w:rsid w:val="24A3741D"/>
    <w:rsid w:val="25C03B45"/>
    <w:rsid w:val="26A359C6"/>
    <w:rsid w:val="26BB6770"/>
    <w:rsid w:val="27694872"/>
    <w:rsid w:val="288D3230"/>
    <w:rsid w:val="28E46556"/>
    <w:rsid w:val="2AA36BE4"/>
    <w:rsid w:val="2AEA12C7"/>
    <w:rsid w:val="2B0365D3"/>
    <w:rsid w:val="2B560E0F"/>
    <w:rsid w:val="2C0318C3"/>
    <w:rsid w:val="2C1D0031"/>
    <w:rsid w:val="2E0F35A0"/>
    <w:rsid w:val="2E8221E7"/>
    <w:rsid w:val="2FA75F21"/>
    <w:rsid w:val="312B3C82"/>
    <w:rsid w:val="313522AC"/>
    <w:rsid w:val="31A237FE"/>
    <w:rsid w:val="31DE6CEC"/>
    <w:rsid w:val="32D839BB"/>
    <w:rsid w:val="36713217"/>
    <w:rsid w:val="367F5066"/>
    <w:rsid w:val="36E30A4E"/>
    <w:rsid w:val="370123CB"/>
    <w:rsid w:val="38AE07EA"/>
    <w:rsid w:val="38B722F2"/>
    <w:rsid w:val="3ABD2B9B"/>
    <w:rsid w:val="3AD6735B"/>
    <w:rsid w:val="3D262944"/>
    <w:rsid w:val="3D956DE8"/>
    <w:rsid w:val="3E5B5A7F"/>
    <w:rsid w:val="3E9A4F18"/>
    <w:rsid w:val="3EAB351B"/>
    <w:rsid w:val="3ED558A4"/>
    <w:rsid w:val="3F450A37"/>
    <w:rsid w:val="3FF300FC"/>
    <w:rsid w:val="401F7AD1"/>
    <w:rsid w:val="405D6C48"/>
    <w:rsid w:val="40771352"/>
    <w:rsid w:val="408E2D4C"/>
    <w:rsid w:val="411341AF"/>
    <w:rsid w:val="4142399F"/>
    <w:rsid w:val="41613F0C"/>
    <w:rsid w:val="417A7EB1"/>
    <w:rsid w:val="43975C91"/>
    <w:rsid w:val="44525053"/>
    <w:rsid w:val="44883D5A"/>
    <w:rsid w:val="45215101"/>
    <w:rsid w:val="48871054"/>
    <w:rsid w:val="4888268D"/>
    <w:rsid w:val="4A1C038A"/>
    <w:rsid w:val="4A2520CE"/>
    <w:rsid w:val="4AC52DF9"/>
    <w:rsid w:val="4BAA7437"/>
    <w:rsid w:val="4C451CAC"/>
    <w:rsid w:val="4EF766E3"/>
    <w:rsid w:val="51151041"/>
    <w:rsid w:val="51EA7B00"/>
    <w:rsid w:val="539D0B17"/>
    <w:rsid w:val="540A7A86"/>
    <w:rsid w:val="56A27691"/>
    <w:rsid w:val="56D61207"/>
    <w:rsid w:val="56E07A3D"/>
    <w:rsid w:val="56ED2606"/>
    <w:rsid w:val="57D63812"/>
    <w:rsid w:val="596231D3"/>
    <w:rsid w:val="59B472C4"/>
    <w:rsid w:val="5C604599"/>
    <w:rsid w:val="5E8F6E8F"/>
    <w:rsid w:val="5ED340FD"/>
    <w:rsid w:val="5EEB2538"/>
    <w:rsid w:val="5F9B04A6"/>
    <w:rsid w:val="601245E8"/>
    <w:rsid w:val="62A470F1"/>
    <w:rsid w:val="63080A17"/>
    <w:rsid w:val="631D6012"/>
    <w:rsid w:val="63A11BDF"/>
    <w:rsid w:val="64180D48"/>
    <w:rsid w:val="648B07CA"/>
    <w:rsid w:val="64AC1FCE"/>
    <w:rsid w:val="65B41D0B"/>
    <w:rsid w:val="66395C5B"/>
    <w:rsid w:val="667D141D"/>
    <w:rsid w:val="67571BFD"/>
    <w:rsid w:val="67B00572"/>
    <w:rsid w:val="69060753"/>
    <w:rsid w:val="69092A4D"/>
    <w:rsid w:val="69380854"/>
    <w:rsid w:val="69CB4E5F"/>
    <w:rsid w:val="6A156EDD"/>
    <w:rsid w:val="6AD96E08"/>
    <w:rsid w:val="6AF4653E"/>
    <w:rsid w:val="6BAD650D"/>
    <w:rsid w:val="6C8F6F15"/>
    <w:rsid w:val="6CCD1A23"/>
    <w:rsid w:val="6DCB2BF5"/>
    <w:rsid w:val="6E2815EA"/>
    <w:rsid w:val="6E572F87"/>
    <w:rsid w:val="6E6F6902"/>
    <w:rsid w:val="6ED4137B"/>
    <w:rsid w:val="6F360F82"/>
    <w:rsid w:val="6F877DD3"/>
    <w:rsid w:val="70F17E1C"/>
    <w:rsid w:val="711146EF"/>
    <w:rsid w:val="71F0303E"/>
    <w:rsid w:val="7210401C"/>
    <w:rsid w:val="72981EF6"/>
    <w:rsid w:val="72BA67EE"/>
    <w:rsid w:val="72C11B1F"/>
    <w:rsid w:val="73333FC1"/>
    <w:rsid w:val="73D05F4D"/>
    <w:rsid w:val="740437AE"/>
    <w:rsid w:val="74FF4B3A"/>
    <w:rsid w:val="76037260"/>
    <w:rsid w:val="76E11FAF"/>
    <w:rsid w:val="78A91CCE"/>
    <w:rsid w:val="79712EA1"/>
    <w:rsid w:val="7A7A3114"/>
    <w:rsid w:val="7A9907FE"/>
    <w:rsid w:val="7C375E7A"/>
    <w:rsid w:val="7E270B3D"/>
    <w:rsid w:val="7F83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b/>
      <w:bCs/>
      <w:sz w:val="24"/>
    </w:rPr>
  </w:style>
  <w:style w:type="paragraph" w:styleId="3">
    <w:name w:val="caption"/>
    <w:basedOn w:val="1"/>
    <w:next w:val="1"/>
    <w:unhideWhenUsed/>
    <w:qFormat/>
    <w:uiPriority w:val="35"/>
    <w:pPr>
      <w:spacing w:before="60" w:line="360" w:lineRule="auto"/>
      <w:ind w:firstLine="480" w:firstLineChars="200"/>
      <w:jc w:val="center"/>
    </w:pPr>
    <w:rPr>
      <w:rFonts w:ascii="Times New Roman" w:hAnsi="Times New Roman" w:eastAsia="宋体" w:cs="Times New Roman"/>
      <w:b/>
      <w:color w:val="FF0000"/>
      <w:sz w:val="24"/>
    </w:rPr>
  </w:style>
  <w:style w:type="paragraph" w:styleId="4">
    <w:name w:val="annotation text"/>
    <w:basedOn w:val="1"/>
    <w:unhideWhenUsed/>
    <w:qFormat/>
    <w:uiPriority w:val="99"/>
    <w:pPr>
      <w:spacing w:line="360" w:lineRule="auto"/>
      <w:ind w:firstLine="200" w:firstLineChars="200"/>
      <w:jc w:val="left"/>
    </w:pPr>
    <w:rPr>
      <w:rFonts w:ascii="Calibri" w:hAnsi="Calibri" w:eastAsia="宋体" w:cs="Times New Roman"/>
      <w:sz w:val="24"/>
    </w:rPr>
  </w:style>
  <w:style w:type="paragraph" w:styleId="5">
    <w:name w:val="Body Text Indent"/>
    <w:basedOn w:val="1"/>
    <w:qFormat/>
    <w:uiPriority w:val="0"/>
    <w:pPr>
      <w:spacing w:line="500" w:lineRule="exact"/>
      <w:ind w:firstLine="555" w:firstLineChars="0"/>
    </w:pPr>
    <w:rPr>
      <w:rFonts w:ascii="仿宋_GB2312" w:eastAsia="仿宋_GB2312" w:cs="Times New Roman"/>
      <w:sz w:val="28"/>
      <w:szCs w:val="20"/>
    </w:rPr>
  </w:style>
  <w:style w:type="paragraph" w:styleId="6">
    <w:name w:val="Plain Text"/>
    <w:basedOn w:val="1"/>
    <w:unhideWhenUsed/>
    <w:qFormat/>
    <w:uiPriority w:val="0"/>
    <w:pPr>
      <w:widowControl/>
      <w:spacing w:line="360" w:lineRule="exact"/>
      <w:jc w:val="left"/>
    </w:pPr>
    <w:rPr>
      <w:rFonts w:hint="eastAsia" w:ascii="宋体" w:hAnsi="Courier New" w:eastAsia="宋体" w:cs="Times New Roman"/>
      <w:szCs w:val="21"/>
    </w:rPr>
  </w:style>
  <w:style w:type="paragraph" w:styleId="7">
    <w:name w:val="Body Text Indent 2"/>
    <w:basedOn w:val="1"/>
    <w:qFormat/>
    <w:uiPriority w:val="0"/>
    <w:pPr>
      <w:ind w:left="420" w:firstLine="359" w:firstLineChars="171"/>
    </w:pPr>
    <w:rPr>
      <w:sz w:val="24"/>
      <w:szCs w:val="20"/>
    </w:rPr>
  </w:style>
  <w:style w:type="paragraph" w:styleId="8">
    <w:name w:val="Balloon Text"/>
    <w:basedOn w:val="1"/>
    <w:link w:val="32"/>
    <w:qFormat/>
    <w:uiPriority w:val="0"/>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Body Text First Indent 2"/>
    <w:basedOn w:val="1"/>
    <w:unhideWhenUsed/>
    <w:qFormat/>
    <w:uiPriority w:val="0"/>
    <w:pPr>
      <w:spacing w:line="360" w:lineRule="auto"/>
      <w:ind w:firstLine="420" w:firstLineChars="200"/>
    </w:pPr>
    <w:rPr>
      <w:rFonts w:ascii="Times New Roman" w:hAnsi="Times New Roman" w:eastAsia="宋体" w:cs="Times New Roman"/>
      <w:sz w:val="24"/>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rPr>
      <w:b/>
      <w:bCs/>
      <w:sz w:val="24"/>
    </w:rPr>
  </w:style>
  <w:style w:type="paragraph" w:styleId="13">
    <w:name w:val="Normal (Web)"/>
    <w:basedOn w:val="1"/>
    <w:unhideWhenUsed/>
    <w:qFormat/>
    <w:uiPriority w:val="99"/>
    <w:pPr>
      <w:spacing w:line="360" w:lineRule="auto"/>
      <w:ind w:firstLine="200" w:firstLineChars="200"/>
    </w:pPr>
    <w:rPr>
      <w:rFonts w:ascii="Times New Roman" w:hAnsi="Times New Roman" w:eastAsia="宋体" w:cs="Times New Roman"/>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17">
    <w:name w:val="Default"/>
    <w:basedOn w:val="1"/>
    <w:qFormat/>
    <w:uiPriority w:val="0"/>
    <w:pPr>
      <w:autoSpaceDE w:val="0"/>
      <w:autoSpaceDN w:val="0"/>
      <w:adjustRightInd w:val="0"/>
      <w:jc w:val="left"/>
    </w:pPr>
    <w:rPr>
      <w:rFonts w:hint="eastAsia" w:ascii="宋体" w:hAnsi="Calibri" w:eastAsia="宋体" w:cs="Times New Roman"/>
      <w:color w:val="000000"/>
      <w:kern w:val="0"/>
      <w:sz w:val="24"/>
    </w:rPr>
  </w:style>
  <w:style w:type="character" w:customStyle="1" w:styleId="18">
    <w:name w:val="17"/>
    <w:basedOn w:val="14"/>
    <w:qFormat/>
    <w:uiPriority w:val="0"/>
    <w:rPr>
      <w:rFonts w:hint="eastAsia" w:ascii="宋体" w:hAnsi="宋体" w:eastAsia="宋体" w:cs="宋体"/>
      <w:b/>
      <w:color w:val="000000"/>
      <w:sz w:val="20"/>
      <w:szCs w:val="20"/>
    </w:rPr>
  </w:style>
  <w:style w:type="paragraph" w:customStyle="1" w:styleId="19">
    <w:name w:val="1文章"/>
    <w:basedOn w:val="1"/>
    <w:qFormat/>
    <w:uiPriority w:val="0"/>
    <w:pPr>
      <w:snapToGrid w:val="0"/>
      <w:spacing w:line="360" w:lineRule="auto"/>
      <w:ind w:firstLine="573" w:firstLineChars="200"/>
    </w:pPr>
    <w:rPr>
      <w:rFonts w:ascii="Times New Roman" w:hAnsi="Times New Roman" w:eastAsia="仿宋_GB2312" w:cs="Times New Roman"/>
      <w:sz w:val="28"/>
      <w:szCs w:val="28"/>
    </w:rPr>
  </w:style>
  <w:style w:type="paragraph" w:customStyle="1" w:styleId="20">
    <w:name w:val="报告表格"/>
    <w:basedOn w:val="1"/>
    <w:qFormat/>
    <w:uiPriority w:val="0"/>
    <w:pPr>
      <w:autoSpaceDE w:val="0"/>
      <w:autoSpaceDN w:val="0"/>
      <w:adjustRightInd w:val="0"/>
      <w:spacing w:line="280" w:lineRule="exact"/>
      <w:ind w:firstLine="200" w:firstLineChars="200"/>
      <w:jc w:val="center"/>
      <w:textAlignment w:val="bottom"/>
    </w:pPr>
    <w:rPr>
      <w:rFonts w:hint="eastAsia" w:ascii="宋体" w:hAnsi="宋体" w:eastAsia="宋体" w:cs="Times New Roman"/>
      <w:kern w:val="0"/>
      <w:sz w:val="24"/>
    </w:rPr>
  </w:style>
  <w:style w:type="paragraph" w:customStyle="1" w:styleId="21">
    <w:name w:val="小四表文左齐"/>
    <w:basedOn w:val="1"/>
    <w:qFormat/>
    <w:uiPriority w:val="0"/>
    <w:pPr>
      <w:adjustRightInd w:val="0"/>
      <w:snapToGrid w:val="0"/>
      <w:spacing w:line="360" w:lineRule="auto"/>
      <w:ind w:firstLine="200" w:firstLineChars="200"/>
      <w:jc w:val="center"/>
    </w:pPr>
    <w:rPr>
      <w:rFonts w:ascii="仿宋_GB2312" w:hAnsi="Times New Roman" w:eastAsia="仿宋_GB2312" w:cs="Times New Roman"/>
      <w:sz w:val="24"/>
    </w:rPr>
  </w:style>
  <w:style w:type="character" w:customStyle="1" w:styleId="22">
    <w:name w:val="15"/>
    <w:basedOn w:val="14"/>
    <w:qFormat/>
    <w:uiPriority w:val="0"/>
    <w:rPr>
      <w:rFonts w:hint="default" w:ascii="Times New Roman" w:hAnsi="Times New Roman" w:cs="Times New Roman"/>
      <w:sz w:val="21"/>
      <w:szCs w:val="21"/>
    </w:rPr>
  </w:style>
  <w:style w:type="paragraph" w:customStyle="1" w:styleId="23">
    <w:name w:val="表格内容"/>
    <w:basedOn w:val="1"/>
    <w:next w:val="1"/>
    <w:qFormat/>
    <w:uiPriority w:val="0"/>
    <w:pPr>
      <w:jc w:val="center"/>
    </w:pPr>
    <w:rPr>
      <w:rFonts w:ascii="Times New Roman" w:hAnsi="Times New Roman" w:eastAsia="宋体" w:cs="Times New Roman"/>
      <w:szCs w:val="21"/>
    </w:rPr>
  </w:style>
  <w:style w:type="character" w:customStyle="1" w:styleId="24">
    <w:name w:val="10"/>
    <w:basedOn w:val="14"/>
    <w:qFormat/>
    <w:uiPriority w:val="0"/>
    <w:rPr>
      <w:rFonts w:hint="default" w:ascii="Times New Roman" w:hAnsi="Times New Roman" w:cs="Times New Roman"/>
    </w:rPr>
  </w:style>
  <w:style w:type="character" w:customStyle="1" w:styleId="25">
    <w:name w:val="16"/>
    <w:basedOn w:val="14"/>
    <w:qFormat/>
    <w:uiPriority w:val="0"/>
    <w:rPr>
      <w:rFonts w:hint="default" w:ascii="Times New Roman" w:hAnsi="Times New Roman" w:cs="Times New Roman"/>
      <w:color w:val="000000"/>
      <w:sz w:val="21"/>
      <w:szCs w:val="21"/>
      <w:vertAlign w:val="superscript"/>
    </w:rPr>
  </w:style>
  <w:style w:type="paragraph" w:customStyle="1" w:styleId="26">
    <w:name w:val="表格标题"/>
    <w:basedOn w:val="1"/>
    <w:qFormat/>
    <w:uiPriority w:val="0"/>
    <w:pPr>
      <w:spacing w:line="360" w:lineRule="auto"/>
      <w:jc w:val="center"/>
    </w:pPr>
    <w:rPr>
      <w:rFonts w:ascii="Times New Roman" w:hAnsi="Times New Roman" w:eastAsia="宋体" w:cs="Times New Roman"/>
      <w:b/>
      <w:sz w:val="24"/>
    </w:rPr>
  </w:style>
  <w:style w:type="paragraph" w:customStyle="1" w:styleId="27">
    <w:name w:val="无间隔1"/>
    <w:basedOn w:val="1"/>
    <w:qFormat/>
    <w:uiPriority w:val="0"/>
    <w:rPr>
      <w:rFonts w:ascii="Calibri" w:hAnsi="Calibri" w:eastAsia="宋体" w:cs="Times New Roman"/>
      <w:szCs w:val="21"/>
    </w:rPr>
  </w:style>
  <w:style w:type="paragraph" w:customStyle="1" w:styleId="28">
    <w:name w:val="表格"/>
    <w:basedOn w:val="1"/>
    <w:qFormat/>
    <w:uiPriority w:val="0"/>
    <w:pPr>
      <w:spacing w:line="360" w:lineRule="auto"/>
      <w:ind w:firstLine="200" w:firstLineChars="200"/>
      <w:jc w:val="center"/>
    </w:pPr>
    <w:rPr>
      <w:rFonts w:ascii="Times New Roman" w:hAnsi="Times New Roman" w:eastAsia="宋体" w:cs="Times New Roman"/>
      <w:sz w:val="24"/>
    </w:rPr>
  </w:style>
  <w:style w:type="paragraph" w:customStyle="1" w:styleId="29">
    <w:name w:val="4S"/>
    <w:basedOn w:val="1"/>
    <w:qFormat/>
    <w:uiPriority w:val="0"/>
    <w:pPr>
      <w:spacing w:line="360" w:lineRule="auto"/>
      <w:ind w:firstLine="480" w:firstLineChars="200"/>
    </w:pPr>
    <w:rPr>
      <w:rFonts w:hint="eastAsia" w:ascii="楷体" w:hAnsi="楷体" w:eastAsia="楷体" w:cs="Times New Roman"/>
      <w:sz w:val="24"/>
    </w:rPr>
  </w:style>
  <w:style w:type="character" w:customStyle="1" w:styleId="30">
    <w:name w:val="页眉 Char"/>
    <w:basedOn w:val="14"/>
    <w:link w:val="11"/>
    <w:qFormat/>
    <w:uiPriority w:val="99"/>
    <w:rPr>
      <w:rFonts w:asciiTheme="minorHAnsi" w:hAnsiTheme="minorHAnsi" w:eastAsiaTheme="minorEastAsia" w:cstheme="minorBidi"/>
      <w:kern w:val="2"/>
      <w:sz w:val="18"/>
      <w:szCs w:val="18"/>
    </w:rPr>
  </w:style>
  <w:style w:type="character" w:customStyle="1" w:styleId="31">
    <w:name w:val="页脚 Char"/>
    <w:basedOn w:val="14"/>
    <w:link w:val="9"/>
    <w:qFormat/>
    <w:uiPriority w:val="99"/>
    <w:rPr>
      <w:rFonts w:asciiTheme="minorHAnsi" w:hAnsiTheme="minorHAnsi" w:eastAsiaTheme="minorEastAsia" w:cstheme="minorBidi"/>
      <w:kern w:val="2"/>
      <w:sz w:val="18"/>
      <w:szCs w:val="18"/>
    </w:rPr>
  </w:style>
  <w:style w:type="character" w:customStyle="1" w:styleId="32">
    <w:name w:val="批注框文本 Char"/>
    <w:basedOn w:val="14"/>
    <w:link w:val="8"/>
    <w:qFormat/>
    <w:uiPriority w:val="0"/>
    <w:rPr>
      <w:rFonts w:asciiTheme="minorHAnsi" w:hAnsiTheme="minorHAnsi" w:eastAsiaTheme="minorEastAsia" w:cstheme="minorBidi"/>
      <w:kern w:val="2"/>
      <w:sz w:val="18"/>
      <w:szCs w:val="18"/>
    </w:rPr>
  </w:style>
  <w:style w:type="paragraph" w:customStyle="1" w:styleId="33">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34">
    <w:name w:val="样式 自动设置"/>
    <w:basedOn w:val="1"/>
    <w:qFormat/>
    <w:uiPriority w:val="0"/>
    <w:pPr>
      <w:autoSpaceDE w:val="0"/>
      <w:autoSpaceDN w:val="0"/>
      <w:adjustRightInd w:val="0"/>
      <w:snapToGrid w:val="0"/>
      <w:spacing w:beforeLines="50" w:line="288" w:lineRule="auto"/>
      <w:ind w:firstLine="200" w:firstLineChars="200"/>
    </w:pPr>
    <w:rPr>
      <w:sz w:val="24"/>
    </w:rPr>
  </w:style>
  <w:style w:type="character" w:customStyle="1" w:styleId="35">
    <w:name w:val="font11"/>
    <w:basedOn w:val="14"/>
    <w:qFormat/>
    <w:uiPriority w:val="0"/>
    <w:rPr>
      <w:rFonts w:hint="eastAsia" w:ascii="宋体" w:hAnsi="宋体" w:eastAsia="宋体" w:cs="宋体"/>
      <w:color w:val="000000"/>
      <w:sz w:val="21"/>
      <w:szCs w:val="21"/>
      <w:u w:val="none"/>
    </w:rPr>
  </w:style>
  <w:style w:type="character" w:customStyle="1" w:styleId="36">
    <w:name w:val="font21"/>
    <w:basedOn w:val="14"/>
    <w:qFormat/>
    <w:uiPriority w:val="0"/>
    <w:rPr>
      <w:rFonts w:hint="default" w:ascii="Times New Roman" w:hAnsi="Times New Roman" w:cs="Times New Roman"/>
      <w:color w:val="000000"/>
      <w:sz w:val="21"/>
      <w:szCs w:val="21"/>
      <w:u w:val="none"/>
    </w:rPr>
  </w:style>
  <w:style w:type="character" w:customStyle="1" w:styleId="37">
    <w:name w:val="font31"/>
    <w:basedOn w:val="14"/>
    <w:qFormat/>
    <w:uiPriority w:val="0"/>
    <w:rPr>
      <w:rFonts w:hint="default" w:ascii="Times New Roman" w:hAnsi="Times New Roman" w:cs="Times New Roman"/>
      <w:color w:val="000000"/>
      <w:sz w:val="21"/>
      <w:szCs w:val="21"/>
      <w:u w:val="none"/>
      <w:vertAlign w:val="superscript"/>
    </w:rPr>
  </w:style>
  <w:style w:type="character" w:customStyle="1" w:styleId="38">
    <w:name w:val="font81"/>
    <w:qFormat/>
    <w:uiPriority w:val="0"/>
    <w:rPr>
      <w:rFonts w:hint="default" w:ascii="Times New Roman" w:hAnsi="Times New Roman" w:cs="Times New Roman"/>
      <w:color w:val="000000"/>
      <w:sz w:val="21"/>
      <w:szCs w:val="21"/>
      <w:u w:val="none"/>
    </w:rPr>
  </w:style>
  <w:style w:type="character" w:customStyle="1" w:styleId="39">
    <w:name w:val="font51"/>
    <w:qFormat/>
    <w:uiPriority w:val="0"/>
    <w:rPr>
      <w:rFonts w:hint="default" w:ascii="Times New Roman" w:hAnsi="Times New Roman" w:cs="Times New Roman"/>
      <w:b/>
      <w:color w:val="000000"/>
      <w:sz w:val="20"/>
      <w:szCs w:val="20"/>
      <w:u w:val="none"/>
    </w:rPr>
  </w:style>
  <w:style w:type="character" w:customStyle="1" w:styleId="40">
    <w:name w:val="font41"/>
    <w:basedOn w:val="14"/>
    <w:qFormat/>
    <w:uiPriority w:val="0"/>
    <w:rPr>
      <w:rFonts w:hint="eastAsia" w:ascii="宋体" w:hAnsi="宋体" w:eastAsia="宋体" w:cs="宋体"/>
      <w:b/>
      <w:color w:val="000000"/>
      <w:sz w:val="20"/>
      <w:szCs w:val="20"/>
      <w:u w:val="none"/>
    </w:rPr>
  </w:style>
  <w:style w:type="character" w:customStyle="1" w:styleId="41">
    <w:name w:val="font61"/>
    <w:qFormat/>
    <w:uiPriority w:val="0"/>
    <w:rPr>
      <w:rFonts w:hint="default" w:ascii="Times New Roman" w:hAnsi="Times New Roman" w:cs="Times New Roman"/>
      <w:color w:val="000000"/>
      <w:sz w:val="24"/>
      <w:szCs w:val="24"/>
      <w:u w:val="none"/>
    </w:rPr>
  </w:style>
  <w:style w:type="character" w:customStyle="1" w:styleId="42">
    <w:name w:val="font01"/>
    <w:basedOn w:val="14"/>
    <w:qFormat/>
    <w:uiPriority w:val="0"/>
    <w:rPr>
      <w:rFonts w:hint="default" w:ascii="Times New Roman" w:hAnsi="Times New Roman" w:cs="Times New Roman"/>
      <w:color w:val="000000"/>
      <w:sz w:val="24"/>
      <w:szCs w:val="24"/>
      <w:u w:val="none"/>
    </w:rPr>
  </w:style>
  <w:style w:type="paragraph" w:customStyle="1" w:styleId="43">
    <w:name w:val="表格文字"/>
    <w:basedOn w:val="1"/>
    <w:qFormat/>
    <w:uiPriority w:val="0"/>
    <w:pPr>
      <w:tabs>
        <w:tab w:val="center" w:pos="4153"/>
        <w:tab w:val="right" w:pos="8306"/>
      </w:tabs>
      <w:adjustRightInd w:val="0"/>
      <w:snapToGrid w:val="0"/>
      <w:jc w:val="center"/>
    </w:pPr>
    <w:rPr>
      <w:rFonts w:eastAsia="仿宋_GB2312"/>
      <w:szCs w:val="21"/>
    </w:rPr>
  </w:style>
  <w:style w:type="paragraph" w:customStyle="1" w:styleId="44">
    <w:name w:val="正文1"/>
    <w:basedOn w:val="1"/>
    <w:qFormat/>
    <w:uiPriority w:val="0"/>
    <w:rPr>
      <w:rFonts w:ascii="Calibri" w:hAnsi="Calibri" w:cs="Calibri"/>
    </w:rPr>
  </w:style>
  <w:style w:type="paragraph" w:customStyle="1" w:styleId="45">
    <w:name w:val="List Paragraph"/>
    <w:basedOn w:val="1"/>
    <w:qFormat/>
    <w:uiPriority w:val="99"/>
    <w:pPr>
      <w:ind w:firstLine="420" w:firstLineChars="200"/>
    </w:pPr>
  </w:style>
  <w:style w:type="paragraph" w:customStyle="1" w:styleId="46">
    <w:name w:val="表1"/>
    <w:basedOn w:val="1"/>
    <w:qFormat/>
    <w:uiPriority w:val="0"/>
    <w:pPr>
      <w:spacing w:line="240" w:lineRule="atLeast"/>
      <w:jc w:val="center"/>
    </w:pPr>
    <w:rPr>
      <w:rFonts w:ascii="Calibri" w:hAnsi="Calibri"/>
      <w:color w:val="000000"/>
      <w:szCs w:val="21"/>
    </w:rPr>
  </w:style>
  <w:style w:type="paragraph" w:customStyle="1" w:styleId="47">
    <w:name w:val="Body Text Indent"/>
    <w:basedOn w:val="1"/>
    <w:qFormat/>
    <w:uiPriority w:val="0"/>
    <w:pPr>
      <w:adjustRightInd w:val="0"/>
      <w:spacing w:after="120" w:line="360" w:lineRule="auto"/>
      <w:ind w:left="420" w:leftChars="200" w:firstLine="200" w:firstLineChars="200"/>
      <w:textAlignment w:val="baseline"/>
    </w:pPr>
    <w:rPr>
      <w:sz w:val="24"/>
    </w:rPr>
  </w:style>
  <w:style w:type="character" w:customStyle="1" w:styleId="48">
    <w:name w:val="font71"/>
    <w:basedOn w:val="14"/>
    <w:qFormat/>
    <w:uiPriority w:val="0"/>
    <w:rPr>
      <w:rFonts w:hint="eastAsia" w:ascii="宋体" w:hAnsi="宋体" w:eastAsia="宋体" w:cs="宋体"/>
      <w:color w:val="000000"/>
      <w:sz w:val="21"/>
      <w:szCs w:val="21"/>
      <w:u w:val="none"/>
      <w:vertAlign w:val="superscript"/>
    </w:rPr>
  </w:style>
  <w:style w:type="paragraph" w:customStyle="1" w:styleId="49">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50">
    <w:name w:val="图表文字"/>
    <w:basedOn w:val="1"/>
    <w:qFormat/>
    <w:uiPriority w:val="0"/>
    <w:pPr>
      <w:jc w:val="center"/>
    </w:pPr>
    <w:rPr>
      <w:rFonts w:ascii="仿宋_GB2312" w:hAnsi="Times New Roman" w:eastAsia="仿宋_GB2312" w:cs="Times New Roman"/>
      <w:szCs w:val="24"/>
    </w:rPr>
  </w:style>
  <w:style w:type="paragraph" w:customStyle="1" w:styleId="51">
    <w:name w:val="低行距图表文字"/>
    <w:basedOn w:val="50"/>
    <w:qFormat/>
    <w:uiPriority w:val="0"/>
    <w:pPr>
      <w:spacing w:line="240" w:lineRule="exact"/>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24568</Words>
  <Characters>27628</Characters>
  <Lines>208</Lines>
  <Paragraphs>58</Paragraphs>
  <TotalTime>0</TotalTime>
  <ScaleCrop>false</ScaleCrop>
  <LinksUpToDate>false</LinksUpToDate>
  <CharactersWithSpaces>28091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2018-12-20T02:33:00Z</dcterms:created>
  <dc:creator>asus</dc:creator>
  <cp:lastModifiedBy>Administrator</cp:lastModifiedBy>
  <cp:lastPrinted>2019-04-22T02:57:00Z</cp:lastPrinted>
  <dcterms:modified xsi:type="dcterms:W3CDTF">2019-06-28T05:57:53Z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