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624" w:afterLines="200"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b/>
          <w:color w:val="auto"/>
          <w:sz w:val="48"/>
          <w:szCs w:val="48"/>
          <w:lang w:bidi="ar"/>
        </w:rPr>
        <w:t>建设项目环境影响报告表</w:t>
      </w:r>
    </w:p>
    <w:p>
      <w:pPr>
        <w:pStyle w:val="17"/>
        <w:widowControl/>
        <w:snapToGrid w:val="0"/>
        <w:jc w:val="center"/>
        <w:rPr>
          <w:rFonts w:hint="default" w:ascii="Times New Roman" w:hAnsi="Times New Roman" w:cs="Times New Roman"/>
          <w:color w:val="auto"/>
          <w:sz w:val="32"/>
          <w:szCs w:val="32"/>
        </w:rPr>
      </w:pPr>
      <w:r>
        <w:rPr>
          <w:rStyle w:val="22"/>
          <w:rFonts w:hint="default" w:ascii="Times New Roman" w:hAnsi="Times New Roman" w:cs="Times New Roman"/>
          <w:color w:val="auto"/>
          <w:sz w:val="32"/>
          <w:szCs w:val="32"/>
        </w:rPr>
        <w:t xml:space="preserve"> </w:t>
      </w:r>
    </w:p>
    <w:p>
      <w:pPr>
        <w:pStyle w:val="17"/>
        <w:widowControl/>
        <w:snapToGrid w:val="0"/>
        <w:jc w:val="center"/>
        <w:rPr>
          <w:rFonts w:hint="default" w:ascii="Times New Roman" w:hAnsi="Times New Roman" w:cs="Times New Roman"/>
          <w:color w:val="auto"/>
          <w:sz w:val="32"/>
          <w:szCs w:val="32"/>
        </w:rPr>
      </w:pPr>
      <w:r>
        <w:rPr>
          <w:rStyle w:val="22"/>
          <w:rFonts w:hint="default" w:ascii="Times New Roman" w:hAnsi="Times New Roman" w:cs="Times New Roman"/>
          <w:color w:val="auto"/>
          <w:sz w:val="32"/>
          <w:szCs w:val="32"/>
        </w:rPr>
        <w:t xml:space="preserve"> </w:t>
      </w:r>
    </w:p>
    <w:p>
      <w:pPr>
        <w:pStyle w:val="17"/>
        <w:widowControl/>
        <w:snapToGrid w:val="0"/>
        <w:jc w:val="center"/>
        <w:rPr>
          <w:rFonts w:hint="default" w:ascii="Times New Roman" w:hAnsi="Times New Roman" w:cs="Times New Roman"/>
          <w:color w:val="auto"/>
          <w:sz w:val="32"/>
          <w:szCs w:val="32"/>
        </w:rPr>
      </w:pPr>
      <w:r>
        <w:rPr>
          <w:rStyle w:val="22"/>
          <w:rFonts w:hint="default" w:ascii="Times New Roman" w:hAnsi="Times New Roman" w:cs="Times New Roman"/>
          <w:color w:val="auto"/>
          <w:sz w:val="32"/>
          <w:szCs w:val="32"/>
        </w:rPr>
        <w:t xml:space="preserve"> </w:t>
      </w:r>
    </w:p>
    <w:p>
      <w:pPr>
        <w:pStyle w:val="17"/>
        <w:widowControl/>
        <w:snapToGrid w:val="0"/>
        <w:jc w:val="center"/>
        <w:rPr>
          <w:rFonts w:hint="default" w:ascii="Times New Roman" w:hAnsi="Times New Roman" w:cs="Times New Roman"/>
          <w:color w:val="auto"/>
          <w:sz w:val="32"/>
          <w:szCs w:val="32"/>
        </w:rPr>
      </w:pPr>
      <w:r>
        <w:rPr>
          <w:rStyle w:val="22"/>
          <w:rFonts w:hint="default" w:ascii="Times New Roman" w:hAnsi="Times New Roman" w:cs="Times New Roman"/>
          <w:color w:val="auto"/>
          <w:sz w:val="32"/>
          <w:szCs w:val="32"/>
        </w:rPr>
        <w:t xml:space="preserve"> </w:t>
      </w:r>
    </w:p>
    <w:p>
      <w:pPr>
        <w:pStyle w:val="17"/>
        <w:widowControl/>
        <w:snapToGrid w:val="0"/>
        <w:jc w:val="center"/>
        <w:rPr>
          <w:rFonts w:hint="default" w:ascii="Times New Roman" w:hAnsi="Times New Roman" w:cs="Times New Roman"/>
          <w:color w:val="auto"/>
          <w:sz w:val="32"/>
          <w:szCs w:val="32"/>
        </w:rPr>
      </w:pPr>
      <w:r>
        <w:rPr>
          <w:rStyle w:val="22"/>
          <w:rFonts w:hint="default" w:ascii="Times New Roman" w:hAnsi="Times New Roman" w:cs="Times New Roman"/>
          <w:color w:val="auto"/>
          <w:sz w:val="32"/>
          <w:szCs w:val="32"/>
        </w:rPr>
        <w:t xml:space="preserve"> </w:t>
      </w:r>
    </w:p>
    <w:p>
      <w:pPr>
        <w:spacing w:before="468" w:beforeLines="150" w:after="468" w:afterLines="150" w:line="360" w:lineRule="auto"/>
        <w:jc w:val="center"/>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项目名称：</w:t>
      </w:r>
      <w:r>
        <w:rPr>
          <w:rFonts w:hint="default" w:ascii="Times New Roman" w:hAnsi="Times New Roman" w:eastAsia="宋体" w:cs="Times New Roman"/>
          <w:color w:val="auto"/>
          <w:sz w:val="32"/>
          <w:szCs w:val="32"/>
          <w:u w:val="single"/>
          <w:lang w:bidi="ar"/>
        </w:rPr>
        <w:t xml:space="preserve"> </w:t>
      </w:r>
      <w:r>
        <w:rPr>
          <w:rFonts w:hint="default" w:ascii="Times New Roman" w:hAnsi="Times New Roman" w:eastAsia="宋体" w:cs="Times New Roman"/>
          <w:color w:val="auto"/>
          <w:sz w:val="32"/>
          <w:szCs w:val="32"/>
          <w:u w:val="single"/>
          <w:lang w:val="en-US" w:eastAsia="zh-CN" w:bidi="ar"/>
        </w:rPr>
        <w:t>年产200万条线束项目</w:t>
      </w:r>
    </w:p>
    <w:p>
      <w:pPr>
        <w:spacing w:before="468" w:beforeLines="150" w:after="468" w:afterLines="150" w:line="360" w:lineRule="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建设单位（盖章）：</w:t>
      </w:r>
      <w:r>
        <w:rPr>
          <w:rFonts w:hint="default" w:ascii="Times New Roman" w:hAnsi="Times New Roman" w:eastAsia="宋体" w:cs="Times New Roman"/>
          <w:color w:val="auto"/>
          <w:sz w:val="32"/>
          <w:szCs w:val="32"/>
          <w:u w:val="single"/>
          <w:lang w:bidi="ar"/>
        </w:rPr>
        <w:t xml:space="preserve"> </w:t>
      </w:r>
      <w:r>
        <w:rPr>
          <w:rFonts w:hint="default" w:ascii="Times New Roman" w:hAnsi="Times New Roman" w:eastAsia="宋体" w:cs="Times New Roman"/>
          <w:color w:val="auto"/>
          <w:sz w:val="32"/>
          <w:szCs w:val="32"/>
          <w:u w:val="single"/>
          <w:lang w:val="en-US" w:eastAsia="zh-CN" w:bidi="ar"/>
        </w:rPr>
        <w:t>常州德而法电子科技有限公司</w:t>
      </w:r>
      <w:r>
        <w:rPr>
          <w:rFonts w:hint="default" w:ascii="Times New Roman" w:hAnsi="Times New Roman" w:eastAsia="宋体" w:cs="Times New Roman"/>
          <w:color w:val="auto"/>
          <w:sz w:val="32"/>
          <w:szCs w:val="32"/>
          <w:u w:val="single"/>
          <w:lang w:bidi="ar"/>
        </w:rPr>
        <w:t xml:space="preserve">  </w:t>
      </w:r>
    </w:p>
    <w:p>
      <w:pPr>
        <w:spacing w:line="360" w:lineRule="auto"/>
        <w:ind w:firstLine="640" w:firstLineChars="20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 xml:space="preserve"> </w:t>
      </w:r>
    </w:p>
    <w:p>
      <w:pPr>
        <w:spacing w:line="360" w:lineRule="auto"/>
        <w:ind w:firstLine="640" w:firstLineChars="20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 xml:space="preserve"> </w:t>
      </w:r>
    </w:p>
    <w:p>
      <w:pPr>
        <w:spacing w:line="360" w:lineRule="auto"/>
        <w:ind w:firstLine="640" w:firstLineChars="20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 xml:space="preserve"> </w:t>
      </w:r>
    </w:p>
    <w:p>
      <w:pPr>
        <w:spacing w:line="360" w:lineRule="auto"/>
        <w:ind w:firstLine="640" w:firstLineChars="20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 xml:space="preserve"> </w:t>
      </w:r>
    </w:p>
    <w:p>
      <w:pPr>
        <w:spacing w:line="360" w:lineRule="auto"/>
        <w:ind w:firstLine="640" w:firstLineChars="20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 xml:space="preserve"> </w:t>
      </w:r>
    </w:p>
    <w:p>
      <w:pPr>
        <w:spacing w:line="360" w:lineRule="auto"/>
        <w:jc w:val="center"/>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编制日期：201</w:t>
      </w:r>
      <w:r>
        <w:rPr>
          <w:rFonts w:hint="default" w:ascii="Times New Roman" w:hAnsi="Times New Roman" w:eastAsia="宋体" w:cs="Times New Roman"/>
          <w:color w:val="auto"/>
          <w:sz w:val="32"/>
          <w:szCs w:val="32"/>
          <w:lang w:val="en-US" w:eastAsia="zh-CN" w:bidi="ar"/>
        </w:rPr>
        <w:t>9</w:t>
      </w:r>
      <w:r>
        <w:rPr>
          <w:rFonts w:hint="default" w:ascii="Times New Roman" w:hAnsi="Times New Roman" w:eastAsia="宋体" w:cs="Times New Roman"/>
          <w:color w:val="auto"/>
          <w:sz w:val="32"/>
          <w:szCs w:val="32"/>
          <w:lang w:bidi="ar"/>
        </w:rPr>
        <w:t>年</w:t>
      </w:r>
      <w:r>
        <w:rPr>
          <w:rFonts w:hint="default" w:ascii="Times New Roman" w:hAnsi="Times New Roman" w:eastAsia="宋体" w:cs="Times New Roman"/>
          <w:color w:val="auto"/>
          <w:sz w:val="32"/>
          <w:szCs w:val="32"/>
          <w:lang w:val="en-US" w:eastAsia="zh-CN" w:bidi="ar"/>
        </w:rPr>
        <w:t>5</w:t>
      </w:r>
      <w:r>
        <w:rPr>
          <w:rFonts w:hint="default" w:ascii="Times New Roman" w:hAnsi="Times New Roman" w:eastAsia="宋体" w:cs="Times New Roman"/>
          <w:color w:val="auto"/>
          <w:sz w:val="32"/>
          <w:szCs w:val="32"/>
          <w:lang w:bidi="ar"/>
        </w:rPr>
        <w:t>月</w:t>
      </w:r>
    </w:p>
    <w:p>
      <w:pPr>
        <w:spacing w:line="360" w:lineRule="auto"/>
        <w:jc w:val="center"/>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t>江苏省环境保护厅制</w:t>
      </w:r>
    </w:p>
    <w:p>
      <w:pPr>
        <w:spacing w:line="360" w:lineRule="auto"/>
        <w:jc w:val="center"/>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lang w:bidi="ar"/>
        </w:rPr>
        <w:br w:type="page"/>
      </w:r>
    </w:p>
    <w:p>
      <w:pPr>
        <w:rPr>
          <w:rFonts w:hint="default" w:ascii="Times New Roman" w:hAnsi="Times New Roman" w:eastAsia="宋体" w:cs="Times New Roman"/>
          <w:color w:val="auto"/>
          <w:kern w:val="0"/>
          <w:sz w:val="24"/>
        </w:rPr>
        <w:sectPr>
          <w:pgSz w:w="11906" w:h="16838"/>
          <w:pgMar w:top="1440" w:right="1800" w:bottom="1440" w:left="1800" w:header="851" w:footer="992" w:gutter="0"/>
          <w:cols w:space="425" w:num="1"/>
          <w:docGrid w:type="lines" w:linePitch="312" w:charSpace="0"/>
        </w:sectPr>
      </w:pPr>
    </w:p>
    <w:p>
      <w:pPr>
        <w:autoSpaceDE w:val="0"/>
        <w:autoSpaceDN w:val="0"/>
        <w:adjustRightInd w:val="0"/>
        <w:spacing w:before="312" w:beforeLines="100" w:after="936" w:afterLines="300" w:line="360" w:lineRule="auto"/>
        <w:ind w:firstLine="480" w:firstLineChars="20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《建设项目环境影响报告表》编制说明</w:t>
      </w:r>
    </w:p>
    <w:p>
      <w:pPr>
        <w:autoSpaceDE w:val="0"/>
        <w:autoSpaceDN w:val="0"/>
        <w:adjustRightInd w:val="0"/>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《建设项目环境影响报告表》由具有从事环境影响评价工作资质的单位编制。</w:t>
      </w:r>
    </w:p>
    <w:p>
      <w:pPr>
        <w:autoSpaceDE w:val="0"/>
        <w:autoSpaceDN w:val="0"/>
        <w:adjustRightInd w:val="0"/>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1.项目名称——指项目立项批复时的名称，应不超过30个字（两个英文字段作一个汉字）。</w:t>
      </w:r>
    </w:p>
    <w:p>
      <w:pPr>
        <w:autoSpaceDE w:val="0"/>
        <w:autoSpaceDN w:val="0"/>
        <w:adjustRightInd w:val="0"/>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2.建设地点——指项目所在地详细地址，公路、铁路应填写起止地点。</w:t>
      </w:r>
    </w:p>
    <w:p>
      <w:pPr>
        <w:autoSpaceDE w:val="0"/>
        <w:autoSpaceDN w:val="0"/>
        <w:adjustRightInd w:val="0"/>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3.行业类别——按国标填写。</w:t>
      </w:r>
    </w:p>
    <w:p>
      <w:pPr>
        <w:autoSpaceDE w:val="0"/>
        <w:autoSpaceDN w:val="0"/>
        <w:adjustRightInd w:val="0"/>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4.总投资——指项目投资总额。</w:t>
      </w:r>
    </w:p>
    <w:p>
      <w:pPr>
        <w:autoSpaceDE w:val="0"/>
        <w:autoSpaceDN w:val="0"/>
        <w:adjustRightInd w:val="0"/>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5.主要环境保护目标——指项目区周围一定范围内集中居民住宅区、学校、医院、保护文物、风景名胜区、水源地和生态敏感点等，应尽可能给出保护目标、性质、规模和距厂界距离等。</w:t>
      </w:r>
    </w:p>
    <w:p>
      <w:pPr>
        <w:autoSpaceDE w:val="0"/>
        <w:autoSpaceDN w:val="0"/>
        <w:adjustRightInd w:val="0"/>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6.结论与建议——给出本项目清洁生产、达标排放和总量控制的分析结论，确定污染防治措施的有效性，说明本项目对环境造成的影响，给出建设项目环境可行性的明确结论。同时提出减少环境影响的其他建议。</w:t>
      </w:r>
    </w:p>
    <w:p>
      <w:pPr>
        <w:autoSpaceDE w:val="0"/>
        <w:autoSpaceDN w:val="0"/>
        <w:adjustRightInd w:val="0"/>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7.预审意见——由行业主管部门填写答复意见，无主管部门项目，可不填。</w:t>
      </w:r>
    </w:p>
    <w:p>
      <w:pPr>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t>8.审批意见——有负责审批该项目的环境保护行政主管部门批复。</w:t>
      </w:r>
    </w:p>
    <w:p>
      <w:pPr>
        <w:spacing w:line="48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bidi="ar"/>
        </w:rPr>
        <w:br w:type="page"/>
      </w:r>
    </w:p>
    <w:p>
      <w:pPr>
        <w:spacing w:line="480" w:lineRule="auto"/>
        <w:rPr>
          <w:rFonts w:hint="default" w:ascii="Times New Roman" w:hAnsi="Times New Roman" w:eastAsia="宋体" w:cs="Times New Roman"/>
          <w:b/>
          <w:color w:val="auto"/>
          <w:sz w:val="30"/>
          <w:szCs w:val="30"/>
        </w:rPr>
        <w:sectPr>
          <w:pgSz w:w="11906" w:h="16838"/>
          <w:pgMar w:top="1440" w:right="1800" w:bottom="1440" w:left="1800" w:header="851" w:footer="992" w:gutter="0"/>
          <w:cols w:space="425" w:num="1"/>
          <w:docGrid w:type="lines" w:linePitch="312" w:charSpace="0"/>
        </w:sectPr>
      </w:pPr>
    </w:p>
    <w:p>
      <w:pPr>
        <w:spacing w:line="360" w:lineRule="auto"/>
        <w:ind w:firstLine="602" w:firstLineChars="200"/>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建设项目基本情况</w:t>
      </w:r>
    </w:p>
    <w:tbl>
      <w:tblPr>
        <w:tblStyle w:val="15"/>
        <w:tblW w:w="874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0"/>
        <w:gridCol w:w="1024"/>
        <w:gridCol w:w="1171"/>
        <w:gridCol w:w="834"/>
        <w:gridCol w:w="1263"/>
        <w:gridCol w:w="1250"/>
        <w:gridCol w:w="145"/>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3" w:hRule="atLeast"/>
          <w:jc w:val="center"/>
        </w:trPr>
        <w:tc>
          <w:tcPr>
            <w:tcW w:w="1740" w:type="dxa"/>
            <w:tcBorders>
              <w:top w:val="single" w:color="auto" w:sz="12"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项目名称</w:t>
            </w:r>
          </w:p>
        </w:tc>
        <w:tc>
          <w:tcPr>
            <w:tcW w:w="7003" w:type="dxa"/>
            <w:gridSpan w:val="7"/>
            <w:tcBorders>
              <w:top w:val="single" w:color="auto" w:sz="12"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年产200万条线束项目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建设单位</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常州德而法电子科技有限公司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法人代表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eastAsia"/>
                <w:color w:val="000000"/>
                <w:sz w:val="24"/>
                <w:lang w:val="en-US" w:eastAsia="zh-CN"/>
              </w:rPr>
              <w:t>黄金峰</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联系人</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eastAsia"/>
                <w:color w:val="000000"/>
                <w:sz w:val="24"/>
                <w:lang w:val="en-US" w:eastAsia="zh-CN"/>
              </w:rPr>
              <w:t>黄金峰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通讯地址</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eastAsia" w:ascii="Times New Roman" w:hAnsi="Times New Roman" w:cs="Times New Roman"/>
                <w:sz w:val="24"/>
                <w:szCs w:val="24"/>
                <w:lang w:val="en-US" w:eastAsia="zh-CN"/>
              </w:rPr>
              <w:t>常州西太湖科技产业园兰香路8号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联系电话</w:t>
            </w:r>
          </w:p>
        </w:tc>
        <w:tc>
          <w:tcPr>
            <w:tcW w:w="219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13584581358</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传真</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邮政编码</w:t>
            </w:r>
          </w:p>
        </w:tc>
        <w:tc>
          <w:tcPr>
            <w:tcW w:w="1316"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213000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建设地点</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eastAsia" w:ascii="Times New Roman" w:hAnsi="Times New Roman" w:cs="Times New Roman"/>
                <w:sz w:val="24"/>
                <w:szCs w:val="24"/>
                <w:lang w:val="en-US" w:eastAsia="zh-CN"/>
              </w:rPr>
              <w:t>常州西太湖科技产业园兰香路8号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立项审批部门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江苏武进经济开发区管委会</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批准文号</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武经发管备[2018]118号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建设性质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新建</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行业类别及代码</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bidi="ar"/>
              </w:rPr>
              <w:t>C3</w:t>
            </w:r>
            <w:r>
              <w:rPr>
                <w:rFonts w:hint="eastAsia" w:ascii="Times New Roman" w:hAnsi="Times New Roman" w:eastAsia="宋体" w:cs="Times New Roman"/>
                <w:color w:val="auto"/>
                <w:sz w:val="24"/>
                <w:lang w:val="en-US" w:eastAsia="zh-CN" w:bidi="ar"/>
              </w:rPr>
              <w:t>660</w:t>
            </w:r>
            <w:r>
              <w:rPr>
                <w:rFonts w:hint="default" w:ascii="Times New Roman" w:hAnsi="Times New Roman" w:eastAsia="宋体" w:cs="Times New Roman"/>
                <w:color w:val="auto"/>
                <w:sz w:val="24"/>
                <w:lang w:val="en-US" w:eastAsia="zh-CN" w:bidi="ar"/>
              </w:rPr>
              <w:t xml:space="preserve"> 汽车零部件及配件制造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用地面积</w:t>
            </w:r>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（平方米）</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租赁建筑面积</w:t>
            </w:r>
            <w:r>
              <w:rPr>
                <w:rFonts w:hint="eastAsia" w:ascii="Times New Roman" w:hAnsi="Times New Roman" w:eastAsia="宋体" w:cs="Times New Roman"/>
                <w:color w:val="auto"/>
                <w:sz w:val="24"/>
                <w:lang w:val="en-US" w:eastAsia="zh-CN"/>
              </w:rPr>
              <w:t>1000</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绿化面积</w:t>
            </w:r>
          </w:p>
          <w:p>
            <w:pPr>
              <w:pStyle w:val="27"/>
              <w:widowControl/>
              <w:spacing w:line="360" w:lineRule="auto"/>
              <w:rPr>
                <w:rFonts w:hint="default" w:ascii="Times New Roman" w:hAnsi="Times New Roman" w:cs="Times New Roman"/>
                <w:color w:val="auto"/>
              </w:rPr>
            </w:pPr>
            <w:r>
              <w:rPr>
                <w:rFonts w:hint="default" w:ascii="Times New Roman" w:hAnsi="Times New Roman" w:cs="Times New Roman"/>
                <w:color w:val="auto"/>
                <w:sz w:val="24"/>
                <w:szCs w:val="24"/>
              </w:rPr>
              <w:t>(平方米)</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依托园区现有绿化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总投资</w:t>
            </w:r>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（万元）</w:t>
            </w:r>
          </w:p>
        </w:tc>
        <w:tc>
          <w:tcPr>
            <w:tcW w:w="102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bidi="ar"/>
              </w:rPr>
              <w:t>100</w:t>
            </w:r>
          </w:p>
        </w:tc>
        <w:tc>
          <w:tcPr>
            <w:tcW w:w="200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其中环保</w:t>
            </w:r>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投资(万元)</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15</w:t>
            </w:r>
          </w:p>
        </w:tc>
        <w:tc>
          <w:tcPr>
            <w:tcW w:w="125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环保投资占总投资比例</w:t>
            </w:r>
          </w:p>
        </w:tc>
        <w:tc>
          <w:tcPr>
            <w:tcW w:w="1461"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15</w:t>
            </w:r>
            <w:r>
              <w:rPr>
                <w:rFonts w:hint="default" w:ascii="Times New Roman" w:hAnsi="Times New Roman" w:eastAsia="宋体" w:cs="Times New Roman"/>
                <w:color w:val="auto"/>
                <w:sz w:val="24"/>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评价经费</w:t>
            </w:r>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（万元）</w:t>
            </w:r>
          </w:p>
        </w:tc>
        <w:tc>
          <w:tcPr>
            <w:tcW w:w="102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w:t>
            </w:r>
          </w:p>
        </w:tc>
        <w:tc>
          <w:tcPr>
            <w:tcW w:w="200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预期投产日期</w:t>
            </w:r>
          </w:p>
        </w:tc>
        <w:tc>
          <w:tcPr>
            <w:tcW w:w="3974" w:type="dxa"/>
            <w:gridSpan w:val="4"/>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2019年</w:t>
            </w:r>
            <w:r>
              <w:rPr>
                <w:rFonts w:hint="default"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2" w:firstLineChars="200"/>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lang w:bidi="ar"/>
              </w:rPr>
              <w:t>原辅材料（包括名称、用量）及主要设施规格、数量（包括锅炉、发电机等）</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lang w:bidi="ar"/>
              </w:rPr>
              <w:t>本项目主要原辅材料及生产设备详见</w:t>
            </w:r>
            <w:r>
              <w:rPr>
                <w:rFonts w:hint="default" w:ascii="Times New Roman" w:hAnsi="Times New Roman" w:eastAsia="宋体" w:cs="Times New Roman"/>
                <w:b/>
                <w:color w:val="auto"/>
                <w:kern w:val="0"/>
                <w:sz w:val="24"/>
                <w:lang w:bidi="ar"/>
              </w:rPr>
              <w:t>表1-2</w:t>
            </w:r>
            <w:r>
              <w:rPr>
                <w:rFonts w:hint="default" w:ascii="Times New Roman" w:hAnsi="Times New Roman" w:eastAsia="宋体" w:cs="Times New Roman"/>
                <w:color w:val="auto"/>
                <w:kern w:val="0"/>
                <w:sz w:val="24"/>
                <w:lang w:bidi="ar"/>
              </w:rPr>
              <w:t>、</w:t>
            </w:r>
            <w:r>
              <w:rPr>
                <w:rFonts w:hint="default" w:ascii="Times New Roman" w:hAnsi="Times New Roman" w:eastAsia="宋体" w:cs="Times New Roman"/>
                <w:b/>
                <w:color w:val="auto"/>
                <w:kern w:val="0"/>
                <w:sz w:val="24"/>
                <w:lang w:bidi="ar"/>
              </w:rPr>
              <w:t>表1-</w:t>
            </w:r>
            <w:r>
              <w:rPr>
                <w:rFonts w:hint="eastAsia" w:ascii="Times New Roman" w:hAnsi="Times New Roman" w:eastAsia="宋体" w:cs="Times New Roman"/>
                <w:b/>
                <w:color w:val="auto"/>
                <w:kern w:val="0"/>
                <w:sz w:val="24"/>
                <w:lang w:val="en-US" w:eastAsia="zh-CN" w:bidi="ar"/>
              </w:rPr>
              <w:t>3</w:t>
            </w:r>
            <w:r>
              <w:rPr>
                <w:rFonts w:hint="default" w:ascii="Times New Roman" w:hAnsi="Times New Roman" w:eastAsia="宋体" w:cs="Times New Roman"/>
                <w:b/>
                <w:color w:val="auto"/>
                <w:kern w:val="0"/>
                <w:sz w:val="24"/>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水及能源消耗量</w:t>
            </w:r>
          </w:p>
          <w:tbl>
            <w:tblPr>
              <w:tblStyle w:val="15"/>
              <w:tblW w:w="8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1276"/>
              <w:gridCol w:w="2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消耗量</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水（吨/年）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300</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燃油（吨/年）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电（万千瓦·时/年）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10</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天然气（万m</w:t>
                  </w:r>
                  <w:r>
                    <w:rPr>
                      <w:rFonts w:hint="default" w:ascii="Times New Roman" w:hAnsi="Times New Roman" w:cs="Times New Roman"/>
                      <w:color w:val="auto"/>
                      <w:vertAlign w:val="superscript"/>
                    </w:rPr>
                    <w:t>3</w:t>
                  </w:r>
                  <w:r>
                    <w:rPr>
                      <w:rFonts w:hint="default" w:ascii="Times New Roman" w:hAnsi="Times New Roman" w:cs="Times New Roman"/>
                      <w:color w:val="auto"/>
                    </w:rPr>
                    <w:t>/年）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燃煤（吨/年）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蒸汽（吨/年）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r>
          </w:tbl>
          <w:p>
            <w:pPr>
              <w:spacing w:line="360" w:lineRule="auto"/>
              <w:ind w:firstLine="482" w:firstLineChars="200"/>
              <w:rPr>
                <w:rFonts w:hint="default" w:ascii="Times New Roman" w:hAnsi="Times New Roman" w:eastAsia="宋体"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9"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污水（工业污水¨、生活污水√）排水量及排放去向</w:t>
            </w:r>
          </w:p>
          <w:p>
            <w:pPr>
              <w:spacing w:line="360" w:lineRule="auto"/>
              <w:ind w:firstLine="480" w:firstLineChars="200"/>
              <w:jc w:val="left"/>
              <w:rPr>
                <w:rFonts w:hint="eastAsia" w:ascii="Times New Roman" w:hAnsi="Times New Roman" w:eastAsia="宋体" w:cs="Times New Roman"/>
                <w:color w:val="auto"/>
                <w:sz w:val="24"/>
                <w:lang w:bidi="ar"/>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无生产废水产生及排放</w:t>
            </w:r>
            <w:r>
              <w:rPr>
                <w:rFonts w:hint="eastAsia" w:ascii="Times New Roman" w:hAnsi="Times New Roman" w:eastAsia="宋体" w:cs="Times New Roman"/>
                <w:color w:val="auto"/>
                <w:sz w:val="24"/>
                <w:lang w:bidi="ar"/>
              </w:rPr>
              <w:t>；生活污水排放量</w:t>
            </w:r>
            <w:r>
              <w:rPr>
                <w:rFonts w:hint="eastAsia" w:ascii="Times New Roman" w:hAnsi="Times New Roman" w:eastAsia="宋体" w:cs="Times New Roman"/>
                <w:color w:val="auto"/>
                <w:sz w:val="24"/>
                <w:lang w:val="en-US" w:eastAsia="zh-CN" w:bidi="ar"/>
              </w:rPr>
              <w:t>240</w:t>
            </w:r>
            <w:r>
              <w:rPr>
                <w:rFonts w:hint="eastAsia" w:ascii="Times New Roman" w:hAnsi="Times New Roman" w:eastAsia="宋体" w:cs="Times New Roman"/>
                <w:color w:val="auto"/>
                <w:sz w:val="24"/>
                <w:lang w:bidi="ar"/>
              </w:rPr>
              <w:t>m</w:t>
            </w:r>
            <w:r>
              <w:rPr>
                <w:rFonts w:hint="eastAsia" w:ascii="Times New Roman" w:hAnsi="Times New Roman" w:eastAsia="宋体" w:cs="Times New Roman"/>
                <w:color w:val="auto"/>
                <w:sz w:val="24"/>
                <w:vertAlign w:val="superscript"/>
                <w:lang w:bidi="ar"/>
              </w:rPr>
              <w:t>3</w:t>
            </w:r>
            <w:r>
              <w:rPr>
                <w:rFonts w:hint="eastAsia" w:ascii="Times New Roman" w:hAnsi="Times New Roman" w:eastAsia="宋体" w:cs="Times New Roman"/>
                <w:color w:val="auto"/>
                <w:sz w:val="24"/>
                <w:lang w:bidi="ar"/>
              </w:rPr>
              <w:t>/a，</w:t>
            </w:r>
            <w:r>
              <w:rPr>
                <w:rFonts w:hint="eastAsia" w:ascii="Times New Roman" w:hAnsi="Times New Roman" w:eastAsia="宋体" w:cs="Times New Roman"/>
                <w:color w:val="auto"/>
                <w:sz w:val="24"/>
                <w:lang w:val="en-US" w:eastAsia="zh-CN" w:bidi="ar"/>
              </w:rPr>
              <w:t>经化粪池处理后进入市政管网</w:t>
            </w:r>
            <w:r>
              <w:rPr>
                <w:rFonts w:hint="eastAsia" w:ascii="Times New Roman" w:hAnsi="Times New Roman" w:eastAsia="宋体" w:cs="Times New Roman"/>
                <w:color w:val="auto"/>
                <w:sz w:val="24"/>
                <w:lang w:bidi="ar"/>
              </w:rPr>
              <w:t>，最终进</w:t>
            </w:r>
            <w:r>
              <w:rPr>
                <w:rFonts w:hint="eastAsia" w:ascii="宋体" w:hAnsi="宋体" w:eastAsia="宋体"/>
                <w:sz w:val="24"/>
              </w:rPr>
              <w:t>武进城区污水处理厂集中处理，尾水排入采菱港</w:t>
            </w:r>
            <w:r>
              <w:rPr>
                <w:rFonts w:hint="eastAsia" w:ascii="Times New Roman" w:hAnsi="Times New Roman" w:eastAsia="宋体" w:cs="Times New Roman"/>
                <w:color w:val="auto"/>
                <w:sz w:val="24"/>
                <w:lang w:bidi="ar"/>
              </w:rPr>
              <w:t>。</w:t>
            </w:r>
          </w:p>
          <w:p>
            <w:pPr>
              <w:spacing w:line="360" w:lineRule="auto"/>
              <w:ind w:firstLine="480" w:firstLineChars="200"/>
              <w:jc w:val="left"/>
              <w:rPr>
                <w:rFonts w:hint="default" w:ascii="Times New Roman" w:hAnsi="Times New Roman" w:eastAsia="宋体" w:cs="Times New Roman"/>
                <w:color w:val="auto"/>
                <w:sz w:val="24"/>
                <w:lang w:bidi="ar"/>
              </w:rPr>
            </w:pPr>
          </w:p>
          <w:p>
            <w:pPr>
              <w:spacing w:line="360" w:lineRule="auto"/>
              <w:ind w:firstLine="480" w:firstLineChars="200"/>
              <w:jc w:val="left"/>
              <w:rPr>
                <w:rFonts w:hint="default" w:ascii="Times New Roman" w:hAnsi="Times New Roman" w:eastAsia="宋体" w:cs="Times New Roman"/>
                <w:color w:val="auto"/>
                <w:sz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放射性同位素和伴有电磁辐射的设施的使用情况</w:t>
            </w:r>
          </w:p>
          <w:p>
            <w:pPr>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本项目无放射性同位素和伴有电磁辐射的设施。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lang w:bidi="ar"/>
              </w:rPr>
              <w:t>工程内容及规模</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1、项目概况及由来</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常州德而法电子科技有限公司</w:t>
            </w:r>
            <w:r>
              <w:rPr>
                <w:rFonts w:hint="eastAsia" w:ascii="Times New Roman" w:hAnsi="Times New Roman" w:eastAsia="宋体" w:cs="Times New Roman"/>
                <w:color w:val="auto"/>
                <w:sz w:val="24"/>
                <w:lang w:val="en-US" w:eastAsia="zh-CN" w:bidi="ar"/>
              </w:rPr>
              <w:t>成立于2016年7月5日，</w:t>
            </w:r>
            <w:r>
              <w:rPr>
                <w:rFonts w:hint="default" w:ascii="Times New Roman" w:hAnsi="Times New Roman" w:eastAsia="宋体" w:cs="Times New Roman"/>
                <w:color w:val="auto"/>
                <w:sz w:val="24"/>
                <w:lang w:bidi="ar"/>
              </w:rPr>
              <w:t>注册地址为常州西太湖科技产业园兰香路8号，企业经营范围为：电子连接器及线缆，电子元件，输配电及控制设备，通信设备及配件，光伏器件和配件，仪器仪表，汽车零配件，电子设备、机械设备、模具、五金配件的研发、制造、销售；计算机软件研发和销售；金属材料、化工原料及产品（除危险品、不储存）、工艺品、纺织品、建筑材料、日用百货的销售；自营和代理各类商品及技术的进出口业务。</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常州德而法电子科技有限公司投资</w:t>
            </w:r>
            <w:r>
              <w:rPr>
                <w:rFonts w:hint="eastAsia" w:ascii="Times New Roman" w:hAnsi="Times New Roman" w:eastAsia="宋体" w:cs="Times New Roman"/>
                <w:color w:val="auto"/>
                <w:sz w:val="24"/>
                <w:lang w:val="en-US" w:eastAsia="zh-CN" w:bidi="ar"/>
              </w:rPr>
              <w:t>100</w:t>
            </w:r>
            <w:r>
              <w:rPr>
                <w:rFonts w:hint="default" w:ascii="Times New Roman" w:hAnsi="Times New Roman" w:eastAsia="宋体" w:cs="Times New Roman"/>
                <w:color w:val="auto"/>
                <w:sz w:val="24"/>
                <w:lang w:bidi="ar"/>
              </w:rPr>
              <w:t>万元，租用常州市滨湖生态城建设有限公司常州西太湖科技产业园兰香路8号5号标准厂房5楼厂房1000平方米</w:t>
            </w:r>
            <w:r>
              <w:rPr>
                <w:rFonts w:hint="default" w:ascii="Times New Roman" w:hAnsi="Times New Roman" w:eastAsia="宋体" w:cs="Times New Roman"/>
                <w:color w:val="auto"/>
                <w:sz w:val="24"/>
                <w:lang w:val="en-US" w:eastAsia="zh-CN" w:bidi="ar"/>
              </w:rPr>
              <w:t>，</w:t>
            </w:r>
            <w:r>
              <w:rPr>
                <w:rFonts w:hint="default" w:ascii="Times New Roman" w:hAnsi="Times New Roman" w:eastAsia="宋体" w:cs="Times New Roman"/>
                <w:color w:val="auto"/>
                <w:sz w:val="24"/>
                <w:lang w:bidi="ar"/>
              </w:rPr>
              <w:t>对厂房进行装修改造，同时购置断线机、注塑机、压接机等</w:t>
            </w:r>
            <w:r>
              <w:rPr>
                <w:rFonts w:hint="eastAsia" w:ascii="Times New Roman" w:hAnsi="Times New Roman" w:eastAsia="宋体" w:cs="Times New Roman"/>
                <w:color w:val="auto"/>
                <w:sz w:val="24"/>
                <w:lang w:val="en-US" w:eastAsia="zh-CN" w:bidi="ar"/>
              </w:rPr>
              <w:t>主要</w:t>
            </w:r>
            <w:r>
              <w:rPr>
                <w:rFonts w:hint="default" w:ascii="Times New Roman" w:hAnsi="Times New Roman" w:eastAsia="宋体" w:cs="Times New Roman"/>
                <w:color w:val="auto"/>
                <w:sz w:val="24"/>
                <w:lang w:bidi="ar"/>
              </w:rPr>
              <w:t>生产设备</w:t>
            </w:r>
            <w:r>
              <w:rPr>
                <w:rFonts w:hint="eastAsia" w:ascii="Times New Roman" w:hAnsi="Times New Roman" w:eastAsia="宋体" w:cs="Times New Roman"/>
                <w:color w:val="auto"/>
                <w:sz w:val="24"/>
                <w:lang w:val="en-US" w:eastAsia="zh-CN" w:bidi="ar"/>
              </w:rPr>
              <w:t>16</w:t>
            </w:r>
            <w:r>
              <w:rPr>
                <w:rFonts w:hint="default" w:ascii="Times New Roman" w:hAnsi="Times New Roman" w:eastAsia="宋体" w:cs="Times New Roman"/>
                <w:color w:val="auto"/>
                <w:sz w:val="24"/>
                <w:lang w:bidi="ar"/>
              </w:rPr>
              <w:t>台（套），建设年产200万条线束项目。建设单位已于2018年</w:t>
            </w:r>
            <w:r>
              <w:rPr>
                <w:rFonts w:hint="eastAsia" w:ascii="Times New Roman" w:hAnsi="Times New Roman" w:eastAsia="宋体" w:cs="Times New Roman"/>
                <w:color w:val="auto"/>
                <w:sz w:val="24"/>
                <w:lang w:val="en-US" w:eastAsia="zh-CN" w:bidi="ar"/>
              </w:rPr>
              <w:t>10</w:t>
            </w:r>
            <w:r>
              <w:rPr>
                <w:rFonts w:hint="default"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日取得江苏武进经济开发区管委会出具的</w:t>
            </w:r>
            <w:r>
              <w:rPr>
                <w:rFonts w:hint="eastAsia" w:ascii="Times New Roman" w:hAnsi="Times New Roman" w:eastAsia="宋体" w:cs="Times New Roman"/>
                <w:color w:val="auto"/>
                <w:sz w:val="24"/>
                <w:lang w:val="en-US" w:eastAsia="zh-CN" w:bidi="ar"/>
              </w:rPr>
              <w:t>备案证</w:t>
            </w:r>
            <w:r>
              <w:rPr>
                <w:rFonts w:hint="default" w:ascii="Times New Roman" w:hAnsi="Times New Roman" w:eastAsia="宋体" w:cs="Times New Roman"/>
                <w:color w:val="auto"/>
                <w:sz w:val="24"/>
                <w:lang w:bidi="ar"/>
              </w:rPr>
              <w:t>（备案号：武经发管备[2018]118号）。</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定员10</w:t>
            </w:r>
            <w:r>
              <w:rPr>
                <w:rFonts w:hint="default" w:ascii="Times New Roman" w:hAnsi="Times New Roman" w:eastAsia="宋体" w:cs="Times New Roman"/>
                <w:color w:val="auto"/>
                <w:sz w:val="24"/>
                <w:lang w:bidi="ar"/>
              </w:rPr>
              <w:t>人，年工作时间</w:t>
            </w:r>
            <w:r>
              <w:rPr>
                <w:rFonts w:hint="eastAsia" w:ascii="Times New Roman" w:hAnsi="Times New Roman" w:eastAsia="宋体" w:cs="Times New Roman"/>
                <w:color w:val="auto"/>
                <w:sz w:val="24"/>
                <w:lang w:val="en-US" w:eastAsia="zh-CN" w:bidi="ar"/>
              </w:rPr>
              <w:t>30</w:t>
            </w:r>
            <w:r>
              <w:rPr>
                <w:rFonts w:hint="default"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一</w:t>
            </w:r>
            <w:r>
              <w:rPr>
                <w:rFonts w:hint="default" w:ascii="Times New Roman" w:hAnsi="Times New Roman" w:eastAsia="宋体" w:cs="Times New Roman"/>
                <w:color w:val="auto"/>
                <w:sz w:val="24"/>
                <w:lang w:bidi="ar"/>
              </w:rPr>
              <w:t>班制，每班8小时，厂房内不</w:t>
            </w:r>
            <w:r>
              <w:rPr>
                <w:rFonts w:hint="default" w:ascii="Times New Roman" w:hAnsi="Times New Roman" w:eastAsia="宋体" w:cs="Times New Roman"/>
                <w:color w:val="auto"/>
                <w:sz w:val="24"/>
                <w:lang w:val="en-US" w:eastAsia="zh-CN" w:bidi="ar"/>
              </w:rPr>
              <w:t>设</w:t>
            </w:r>
            <w:r>
              <w:rPr>
                <w:rFonts w:hint="default" w:ascii="Times New Roman" w:hAnsi="Times New Roman" w:eastAsia="宋体" w:cs="Times New Roman"/>
                <w:color w:val="auto"/>
                <w:sz w:val="24"/>
                <w:lang w:bidi="ar"/>
              </w:rPr>
              <w:t>食堂、宿舍。</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2、工程内容及规模</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w:t>
            </w:r>
            <w:r>
              <w:rPr>
                <w:rFonts w:hint="default" w:ascii="Times New Roman" w:hAnsi="Times New Roman" w:eastAsia="宋体" w:cs="Times New Roman"/>
                <w:color w:val="auto"/>
                <w:sz w:val="24"/>
                <w:lang w:val="en-US" w:eastAsia="zh-CN" w:bidi="ar"/>
              </w:rPr>
              <w:t>建成后全厂</w:t>
            </w:r>
            <w:r>
              <w:rPr>
                <w:rFonts w:hint="default" w:ascii="Times New Roman" w:hAnsi="Times New Roman" w:eastAsia="宋体" w:cs="Times New Roman"/>
                <w:color w:val="auto"/>
                <w:sz w:val="24"/>
                <w:lang w:bidi="ar"/>
              </w:rPr>
              <w:t>产品方案见表1-1。</w:t>
            </w:r>
          </w:p>
          <w:p>
            <w:pPr>
              <w:pStyle w:val="26"/>
              <w:widowControl/>
              <w:rPr>
                <w:rFonts w:hint="default" w:ascii="Times New Roman" w:hAnsi="Times New Roman" w:cs="Times New Roman"/>
                <w:color w:val="auto"/>
              </w:rPr>
            </w:pPr>
            <w:r>
              <w:rPr>
                <w:rFonts w:hint="default" w:ascii="Times New Roman" w:hAnsi="Times New Roman" w:cs="Times New Roman"/>
                <w:color w:val="auto"/>
              </w:rPr>
              <w:t>表1-1本项目</w:t>
            </w:r>
            <w:r>
              <w:rPr>
                <w:rFonts w:hint="default" w:ascii="Times New Roman" w:hAnsi="Times New Roman" w:cs="Times New Roman"/>
                <w:color w:val="auto"/>
                <w:lang w:val="en-US" w:eastAsia="zh-CN"/>
              </w:rPr>
              <w:t>建成后全厂</w:t>
            </w:r>
            <w:r>
              <w:rPr>
                <w:rFonts w:hint="default" w:ascii="Times New Roman" w:hAnsi="Times New Roman" w:cs="Times New Roman"/>
                <w:color w:val="auto"/>
              </w:rPr>
              <w:t>产品方案</w:t>
            </w:r>
          </w:p>
          <w:tbl>
            <w:tblPr>
              <w:tblStyle w:val="14"/>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532"/>
              <w:gridCol w:w="3209"/>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6" w:type="dxa"/>
                  <w:tcBorders>
                    <w:top w:val="single" w:color="auto" w:sz="4" w:space="0"/>
                    <w:left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eastAsia="宋体"/>
                      <w:b/>
                      <w:color w:val="auto"/>
                      <w:lang w:val="en-US" w:eastAsia="zh-CN"/>
                    </w:rPr>
                  </w:pPr>
                  <w:r>
                    <w:rPr>
                      <w:rFonts w:hint="eastAsia"/>
                      <w:b/>
                      <w:color w:val="auto"/>
                      <w:lang w:val="en-US" w:eastAsia="zh-CN"/>
                    </w:rPr>
                    <w:t>序号</w:t>
                  </w:r>
                </w:p>
              </w:tc>
              <w:tc>
                <w:tcPr>
                  <w:tcW w:w="2532" w:type="dxa"/>
                  <w:tcBorders>
                    <w:top w:val="single" w:color="auto" w:sz="4" w:space="0"/>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b/>
                      <w:color w:val="auto"/>
                      <w:lang w:val="en-US" w:eastAsia="zh-CN"/>
                    </w:rPr>
                  </w:pPr>
                  <w:r>
                    <w:rPr>
                      <w:rFonts w:hint="eastAsia"/>
                      <w:b/>
                      <w:color w:val="auto"/>
                      <w:lang w:val="en-US" w:eastAsia="zh-CN"/>
                    </w:rPr>
                    <w:t>产品名称</w:t>
                  </w:r>
                </w:p>
              </w:tc>
              <w:tc>
                <w:tcPr>
                  <w:tcW w:w="3209"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b/>
                      <w:color w:val="auto"/>
                      <w:lang w:val="en-US" w:eastAsia="zh-CN"/>
                    </w:rPr>
                  </w:pPr>
                  <w:r>
                    <w:rPr>
                      <w:rFonts w:hint="eastAsia"/>
                      <w:b/>
                      <w:color w:val="auto"/>
                      <w:lang w:val="en-US" w:eastAsia="zh-CN"/>
                    </w:rPr>
                    <w:t>生产规模</w:t>
                  </w:r>
                </w:p>
              </w:tc>
              <w:tc>
                <w:tcPr>
                  <w:tcW w:w="1570" w:type="dxa"/>
                  <w:tcBorders>
                    <w:top w:val="single" w:color="auto" w:sz="4" w:space="0"/>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b/>
                      <w:color w:val="auto"/>
                      <w:lang w:val="en-US" w:eastAsia="zh-CN"/>
                    </w:rPr>
                  </w:pPr>
                  <w:r>
                    <w:rPr>
                      <w:rFonts w:hint="eastAsia"/>
                      <w:b/>
                      <w:color w:val="auto"/>
                      <w:lang w:val="en-US" w:eastAsia="zh-CN"/>
                    </w:rPr>
                    <w:t>生产时间（h）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eastAsia="宋体"/>
                      <w:color w:val="auto"/>
                      <w:lang w:val="en-US" w:eastAsia="zh-CN"/>
                    </w:rPr>
                  </w:pPr>
                  <w:r>
                    <w:rPr>
                      <w:rFonts w:hint="eastAsia"/>
                      <w:color w:val="auto"/>
                      <w:lang w:val="en-US" w:eastAsia="zh-CN"/>
                    </w:rPr>
                    <w:t>1</w:t>
                  </w:r>
                </w:p>
              </w:tc>
              <w:tc>
                <w:tcPr>
                  <w:tcW w:w="2532"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eastAsia"/>
                      <w:color w:val="auto"/>
                      <w:lang w:val="en-US" w:eastAsia="zh-CN"/>
                    </w:rPr>
                    <w:t>线束</w:t>
                  </w:r>
                </w:p>
              </w:tc>
              <w:tc>
                <w:tcPr>
                  <w:tcW w:w="3209"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default" w:ascii="Times New Roman" w:hAnsi="Times New Roman" w:eastAsia="宋体" w:cs="Times New Roman"/>
                      <w:color w:val="auto"/>
                      <w:sz w:val="24"/>
                      <w:lang w:bidi="ar"/>
                    </w:rPr>
                    <w:t>200万条</w:t>
                  </w:r>
                  <w:r>
                    <w:rPr>
                      <w:rFonts w:hint="eastAsia"/>
                      <w:color w:val="auto"/>
                      <w:lang w:val="en-US" w:eastAsia="zh-CN"/>
                    </w:rPr>
                    <w:t>/a</w:t>
                  </w:r>
                </w:p>
              </w:tc>
              <w:tc>
                <w:tcPr>
                  <w:tcW w:w="1570"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eastAsia"/>
                      <w:color w:val="auto"/>
                      <w:lang w:val="en-US" w:eastAsia="zh-CN"/>
                    </w:rPr>
                    <w:t>2400</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3、建设项目主要原辅材料</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建设项目生产所需原辅材料见表1-2。</w:t>
            </w:r>
          </w:p>
          <w:p>
            <w:pPr>
              <w:pStyle w:val="26"/>
              <w:widowControl/>
              <w:rPr>
                <w:rFonts w:hint="default" w:ascii="Times New Roman" w:hAnsi="Times New Roman" w:cs="Times New Roman"/>
                <w:color w:val="auto"/>
              </w:rPr>
            </w:pPr>
            <w:r>
              <w:rPr>
                <w:rFonts w:hint="default" w:ascii="Times New Roman" w:hAnsi="Times New Roman" w:cs="Times New Roman"/>
                <w:color w:val="auto"/>
              </w:rPr>
              <w:t>表1-2主要原辅材料及消耗表（t/a）</w:t>
            </w:r>
          </w:p>
          <w:tbl>
            <w:tblPr>
              <w:tblStyle w:val="14"/>
              <w:tblW w:w="851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968"/>
              <w:gridCol w:w="1773"/>
              <w:gridCol w:w="1712"/>
              <w:gridCol w:w="1213"/>
              <w:gridCol w:w="1636"/>
              <w:gridCol w:w="121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Ex>
              <w:trPr>
                <w:trHeight w:val="340" w:hRule="atLeast"/>
              </w:trPr>
              <w:tc>
                <w:tcPr>
                  <w:tcW w:w="968" w:type="dxa"/>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77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712"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组分</w:t>
                  </w:r>
                </w:p>
              </w:tc>
              <w:tc>
                <w:tcPr>
                  <w:tcW w:w="121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636"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最大存储量</w:t>
                  </w:r>
                </w:p>
              </w:tc>
              <w:tc>
                <w:tcPr>
                  <w:tcW w:w="1214" w:type="dxa"/>
                  <w:tcBorders>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包装规格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40" w:hRule="atLeast"/>
              </w:trPr>
              <w:tc>
                <w:tcPr>
                  <w:tcW w:w="968"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rPr>
                    <w:t>电线</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铜</w:t>
                  </w: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eastAsiaTheme="minorEastAsia"/>
                      <w:i w:val="0"/>
                      <w:color w:val="000000"/>
                      <w:kern w:val="0"/>
                      <w:sz w:val="21"/>
                      <w:szCs w:val="21"/>
                      <w:u w:val="none"/>
                      <w:lang w:val="en-US" w:eastAsia="zh-CN" w:bidi="ar"/>
                    </w:rPr>
                  </w:pPr>
                  <w:r>
                    <w:rPr>
                      <w:rFonts w:hint="eastAsia"/>
                    </w:rPr>
                    <w:t>5</w:t>
                  </w:r>
                  <w:r>
                    <w:t>0万米</w:t>
                  </w:r>
                  <w:r>
                    <w:rPr>
                      <w:rFonts w:hint="eastAsia"/>
                      <w:lang w:val="en-US" w:eastAsia="zh-CN"/>
                    </w:rPr>
                    <w:t>/a</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rPr>
                    <w:t>5</w:t>
                  </w:r>
                  <w:r>
                    <w:t>万米</w:t>
                  </w:r>
                  <w:r>
                    <w:rPr>
                      <w:rFonts w:hint="eastAsia"/>
                      <w:lang w:val="en-US" w:eastAsia="zh-CN"/>
                    </w:rPr>
                    <w:t>/a</w:t>
                  </w:r>
                </w:p>
              </w:tc>
              <w:tc>
                <w:tcPr>
                  <w:tcW w:w="1214"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箱装</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Ex>
              <w:trPr>
                <w:trHeight w:val="340" w:hRule="atLeast"/>
              </w:trPr>
              <w:tc>
                <w:tcPr>
                  <w:tcW w:w="968"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rPr>
                    <w:t>连接器</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塑料</w:t>
                  </w: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30万套/a</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3万套/a</w:t>
                  </w:r>
                </w:p>
              </w:tc>
              <w:tc>
                <w:tcPr>
                  <w:tcW w:w="1214"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箱装</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40" w:hRule="atLeast"/>
              </w:trPr>
              <w:tc>
                <w:tcPr>
                  <w:tcW w:w="968"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rPr>
                    <w:t>P</w:t>
                  </w:r>
                  <w:r>
                    <w:t>VC粒子</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PVC</w:t>
                  </w: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w:t>
                  </w:r>
                </w:p>
              </w:tc>
              <w:tc>
                <w:tcPr>
                  <w:tcW w:w="1214"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袋装</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40" w:hRule="atLeast"/>
              </w:trPr>
              <w:tc>
                <w:tcPr>
                  <w:tcW w:w="968"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77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rPr>
                    <w:t>锡丝</w:t>
                  </w:r>
                </w:p>
              </w:tc>
              <w:tc>
                <w:tcPr>
                  <w:tcW w:w="171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锡</w:t>
                  </w:r>
                </w:p>
              </w:tc>
              <w:tc>
                <w:tcPr>
                  <w:tcW w:w="121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0.05</w:t>
                  </w:r>
                </w:p>
              </w:tc>
              <w:tc>
                <w:tcPr>
                  <w:tcW w:w="163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0.005</w:t>
                  </w:r>
                </w:p>
              </w:tc>
              <w:tc>
                <w:tcPr>
                  <w:tcW w:w="1214" w:type="dxa"/>
                  <w:tcBorders>
                    <w:top w:val="single" w:color="000000" w:sz="4" w:space="0"/>
                    <w:lef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箱装</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4、主要生产设备</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本项目建成后运营期间主要设备见表1-</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w:t>
            </w:r>
          </w:p>
          <w:p>
            <w:pPr>
              <w:pStyle w:val="26"/>
              <w:widowControl/>
              <w:rPr>
                <w:rFonts w:hint="default" w:ascii="Times New Roman" w:hAnsi="Times New Roman" w:cs="Times New Roman"/>
                <w:color w:val="auto"/>
              </w:rPr>
            </w:pPr>
            <w:r>
              <w:rPr>
                <w:rFonts w:hint="default" w:ascii="Times New Roman" w:hAnsi="Times New Roman" w:cs="Times New Roman"/>
                <w:color w:val="auto"/>
              </w:rPr>
              <w:t>表1-</w:t>
            </w:r>
            <w:r>
              <w:rPr>
                <w:rFonts w:hint="eastAsia" w:cs="Times New Roman"/>
                <w:color w:val="auto"/>
                <w:lang w:val="en-US" w:eastAsia="zh-CN"/>
              </w:rPr>
              <w:t>3</w:t>
            </w:r>
            <w:r>
              <w:rPr>
                <w:rFonts w:hint="default" w:ascii="Times New Roman" w:hAnsi="Times New Roman" w:cs="Times New Roman"/>
                <w:color w:val="auto"/>
              </w:rPr>
              <w:t xml:space="preserve"> 运营期间生产设备一览表</w:t>
            </w:r>
          </w:p>
          <w:tbl>
            <w:tblPr>
              <w:tblStyle w:val="14"/>
              <w:tblW w:w="8517" w:type="dxa"/>
              <w:tblInd w:w="0" w:type="dxa"/>
              <w:shd w:val="clear" w:color="auto" w:fill="auto"/>
              <w:tblLayout w:type="fixed"/>
              <w:tblCellMar>
                <w:top w:w="0" w:type="dxa"/>
                <w:left w:w="0" w:type="dxa"/>
                <w:bottom w:w="0" w:type="dxa"/>
                <w:right w:w="0" w:type="dxa"/>
              </w:tblCellMar>
            </w:tblPr>
            <w:tblGrid>
              <w:gridCol w:w="1201"/>
              <w:gridCol w:w="2205"/>
              <w:gridCol w:w="1704"/>
              <w:gridCol w:w="1702"/>
              <w:gridCol w:w="2"/>
              <w:gridCol w:w="1702"/>
              <w:gridCol w:w="1"/>
            </w:tblGrid>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设备名称</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规格/型号</w:t>
                  </w:r>
                </w:p>
              </w:tc>
              <w:tc>
                <w:tcPr>
                  <w:tcW w:w="170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数量（台）</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全自动断剥线机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JM-999</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立式气动剥线机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RH-LS-S</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测试仪</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HC-8681FA++</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立式注塑机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MK108</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自动出锡焊锡机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JK-006</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压接机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3</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5、公用及辅助工程</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本项目公用及辅助工程情况见表1-</w:t>
            </w:r>
            <w:r>
              <w:rPr>
                <w:rFonts w:hint="eastAsia" w:ascii="Times New Roman" w:hAnsi="Times New Roman" w:eastAsia="宋体" w:cs="Times New Roman"/>
                <w:color w:val="auto"/>
                <w:sz w:val="24"/>
                <w:lang w:val="en-US" w:eastAsia="zh-CN" w:bidi="ar"/>
              </w:rPr>
              <w:t>4</w:t>
            </w:r>
            <w:r>
              <w:rPr>
                <w:rFonts w:hint="default" w:ascii="Times New Roman" w:hAnsi="Times New Roman" w:eastAsia="宋体" w:cs="Times New Roman"/>
                <w:color w:val="auto"/>
                <w:sz w:val="24"/>
                <w:lang w:bidi="ar"/>
              </w:rPr>
              <w:t>。</w:t>
            </w:r>
          </w:p>
          <w:p>
            <w:pPr>
              <w:pStyle w:val="26"/>
              <w:widowControl/>
              <w:rPr>
                <w:rFonts w:hint="default" w:ascii="Times New Roman" w:hAnsi="Times New Roman" w:cs="Times New Roman"/>
                <w:color w:val="auto"/>
              </w:rPr>
            </w:pPr>
            <w:r>
              <w:rPr>
                <w:rFonts w:hint="default" w:ascii="Times New Roman" w:hAnsi="Times New Roman" w:cs="Times New Roman"/>
                <w:color w:val="auto"/>
              </w:rPr>
              <w:t>表1-</w:t>
            </w:r>
            <w:r>
              <w:rPr>
                <w:rFonts w:hint="eastAsia" w:cs="Times New Roman"/>
                <w:color w:val="auto"/>
                <w:lang w:val="en-US" w:eastAsia="zh-CN"/>
              </w:rPr>
              <w:t>4</w:t>
            </w:r>
            <w:r>
              <w:rPr>
                <w:rFonts w:hint="default" w:ascii="Times New Roman" w:hAnsi="Times New Roman" w:cs="Times New Roman"/>
                <w:color w:val="auto"/>
              </w:rPr>
              <w:t xml:space="preserve"> 本项目公用及辅助工程一览表</w:t>
            </w:r>
          </w:p>
          <w:tbl>
            <w:tblPr>
              <w:tblStyle w:val="14"/>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945"/>
              <w:gridCol w:w="1290"/>
              <w:gridCol w:w="2463"/>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类别</w:t>
                  </w: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建设名称</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设计能力</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主体工程</w:t>
                  </w: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生产车间</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600</w:t>
                  </w:r>
                  <w:r>
                    <w:rPr>
                      <w:rFonts w:hint="default" w:ascii="Times New Roman" w:hAnsi="Times New Roman" w:cs="Times New Roman"/>
                      <w:color w:val="auto"/>
                    </w:rPr>
                    <w:t>m</w:t>
                  </w:r>
                  <w:r>
                    <w:rPr>
                      <w:rFonts w:hint="default" w:ascii="Times New Roman" w:hAnsi="Times New Roman" w:cs="Times New Roman"/>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ascii="Times New Roman" w:hAnsi="Times New Roman" w:eastAsia="宋体" w:cs="Times New Roman"/>
                      <w:color w:val="auto"/>
                      <w:lang w:val="en-US" w:eastAsia="zh-CN"/>
                    </w:rPr>
                  </w:pPr>
                  <w:r>
                    <w:rPr>
                      <w:rFonts w:hint="default" w:ascii="Times New Roman" w:hAnsi="Times New Roman" w:cs="Times New Roman"/>
                      <w:color w:val="auto"/>
                    </w:rPr>
                    <w:t>位于租赁</w:t>
                  </w:r>
                  <w:r>
                    <w:rPr>
                      <w:rFonts w:hint="default" w:ascii="Times New Roman" w:hAnsi="Times New Roman" w:cs="Times New Roman"/>
                      <w:color w:val="auto"/>
                      <w:lang w:val="en-US" w:eastAsia="zh-CN"/>
                    </w:rPr>
                    <w:t>园区内</w:t>
                  </w:r>
                  <w:r>
                    <w:rPr>
                      <w:rFonts w:hint="default" w:ascii="Times New Roman" w:hAnsi="Times New Roman" w:cs="Times New Roman"/>
                      <w:color w:val="auto"/>
                    </w:rPr>
                    <w:t>厂房</w:t>
                  </w:r>
                  <w:r>
                    <w:rPr>
                      <w:rFonts w:hint="eastAsia" w:cs="Times New Roman"/>
                      <w:color w:val="auto"/>
                      <w:lang w:val="en-US" w:eastAsia="zh-CN"/>
                    </w:rPr>
                    <w:t>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Borders>
                    <w:top w:val="nil"/>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贮运工程</w:t>
                  </w: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仓库</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约</w:t>
                  </w:r>
                  <w:r>
                    <w:rPr>
                      <w:rFonts w:hint="eastAsia" w:cs="Times New Roman"/>
                      <w:color w:val="auto"/>
                      <w:lang w:val="en-US" w:eastAsia="zh-CN"/>
                    </w:rPr>
                    <w:t>200</w:t>
                  </w:r>
                  <w:r>
                    <w:rPr>
                      <w:rFonts w:hint="default" w:ascii="Times New Roman" w:hAnsi="Times New Roman" w:cs="Times New Roman"/>
                      <w:color w:val="auto"/>
                    </w:rPr>
                    <w:t>m</w:t>
                  </w:r>
                  <w:r>
                    <w:rPr>
                      <w:rFonts w:hint="default" w:ascii="Times New Roman" w:hAnsi="Times New Roman" w:cs="Times New Roman"/>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位于生产车间</w:t>
                  </w:r>
                  <w:r>
                    <w:rPr>
                      <w:rFonts w:hint="eastAsia" w:cs="Times New Roman"/>
                      <w:color w:val="auto"/>
                      <w:lang w:val="en-US" w:eastAsia="zh-CN"/>
                    </w:rPr>
                    <w:t>内</w:t>
                  </w:r>
                  <w:r>
                    <w:rPr>
                      <w:rFonts w:hint="default" w:ascii="Times New Roman" w:hAnsi="Times New Roman" w:cs="Times New Roman"/>
                      <w:color w:val="auto"/>
                      <w:lang w:eastAsia="zh-CN"/>
                    </w:rPr>
                    <w:t>，</w:t>
                  </w:r>
                  <w:r>
                    <w:rPr>
                      <w:rFonts w:hint="default" w:ascii="Times New Roman" w:hAnsi="Times New Roman" w:cs="Times New Roman"/>
                      <w:color w:val="auto"/>
                    </w:rPr>
                    <w:t xml:space="preserve">堆放原料、成品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restart"/>
                  <w:tcBorders>
                    <w:top w:val="nil"/>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公用工程</w:t>
                  </w: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给水</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本项目给水</w:t>
                  </w:r>
                  <w:r>
                    <w:rPr>
                      <w:rFonts w:hint="eastAsia" w:cs="Times New Roman"/>
                      <w:color w:val="auto"/>
                      <w:lang w:val="en-US" w:eastAsia="zh-CN"/>
                    </w:rPr>
                    <w:t>300</w:t>
                  </w:r>
                  <w:r>
                    <w:rPr>
                      <w:rFonts w:hint="default" w:ascii="Times New Roman" w:hAnsi="Times New Roman" w:cs="Times New Roman"/>
                      <w:color w:val="auto"/>
                    </w:rPr>
                    <w:t>m</w:t>
                  </w:r>
                  <w:r>
                    <w:rPr>
                      <w:rFonts w:hint="default" w:ascii="Times New Roman" w:hAnsi="Times New Roman" w:cs="Times New Roman"/>
                      <w:color w:val="auto"/>
                      <w:vertAlign w:val="superscript"/>
                    </w:rPr>
                    <w:t>3</w:t>
                  </w:r>
                  <w:r>
                    <w:rPr>
                      <w:rFonts w:hint="default" w:ascii="Times New Roman" w:hAnsi="Times New Roman" w:cs="Times New Roman"/>
                      <w:color w:val="auto"/>
                    </w:rPr>
                    <w:t>/a</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依托</w:t>
                  </w:r>
                  <w:r>
                    <w:rPr>
                      <w:rFonts w:hint="default" w:ascii="Times New Roman" w:hAnsi="Times New Roman" w:cs="Times New Roman"/>
                      <w:color w:val="auto"/>
                      <w:lang w:val="en-US" w:eastAsia="zh-CN"/>
                    </w:rPr>
                    <w:t>园区</w:t>
                  </w:r>
                  <w:r>
                    <w:rPr>
                      <w:rFonts w:hint="default" w:ascii="Times New Roman" w:hAnsi="Times New Roman" w:cs="Times New Roman"/>
                      <w:color w:val="auto"/>
                    </w:rPr>
                    <w:t>已有的给水管网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排水</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雨污分流，雨水通过雨水管网排至市政雨水管网；本项目无生产废水产生及排放；生活污水排放量240m</w:t>
                  </w:r>
                  <w:r>
                    <w:rPr>
                      <w:rFonts w:hint="default" w:ascii="Times New Roman" w:hAnsi="Times New Roman" w:cs="Times New Roman"/>
                      <w:color w:val="auto"/>
                      <w:vertAlign w:val="superscript"/>
                    </w:rPr>
                    <w:t>3</w:t>
                  </w:r>
                  <w:r>
                    <w:rPr>
                      <w:rFonts w:hint="default" w:ascii="Times New Roman" w:hAnsi="Times New Roman" w:cs="Times New Roman"/>
                      <w:color w:val="auto"/>
                    </w:rPr>
                    <w:t>/a，经化粪池处理后进入市政管网，最终进武进城区污水处理厂集中处理，尾水排入采菱港。</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依托</w:t>
                  </w:r>
                  <w:r>
                    <w:rPr>
                      <w:rFonts w:hint="default" w:ascii="Times New Roman" w:hAnsi="Times New Roman" w:cs="Times New Roman"/>
                      <w:color w:val="auto"/>
                      <w:lang w:val="en-US" w:eastAsia="zh-CN"/>
                    </w:rPr>
                    <w:t>园区</w:t>
                  </w:r>
                  <w:r>
                    <w:rPr>
                      <w:rFonts w:hint="default" w:ascii="Times New Roman" w:hAnsi="Times New Roman" w:cs="Times New Roman"/>
                      <w:color w:val="auto"/>
                    </w:rPr>
                    <w:t>已有的</w:t>
                  </w:r>
                  <w:r>
                    <w:rPr>
                      <w:rFonts w:hint="default" w:ascii="Times New Roman" w:hAnsi="Times New Roman" w:cs="Times New Roman"/>
                      <w:color w:val="auto"/>
                      <w:lang w:val="en-US" w:eastAsia="zh-CN"/>
                    </w:rPr>
                    <w:t>雨污</w:t>
                  </w:r>
                  <w:r>
                    <w:rPr>
                      <w:rFonts w:hint="default" w:ascii="Times New Roman" w:hAnsi="Times New Roman" w:cs="Times New Roman"/>
                      <w:color w:val="auto"/>
                    </w:rPr>
                    <w:t>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供电</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10</w:t>
                  </w:r>
                  <w:r>
                    <w:rPr>
                      <w:rFonts w:hint="default" w:ascii="Times New Roman" w:hAnsi="Times New Roman" w:cs="Times New Roman"/>
                      <w:color w:val="auto"/>
                    </w:rPr>
                    <w:t>万kwh/a</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由城市电网统一供给，不另设备用发电机组，依托</w:t>
                  </w:r>
                  <w:r>
                    <w:rPr>
                      <w:rFonts w:hint="default" w:ascii="Times New Roman" w:hAnsi="Times New Roman" w:cs="Times New Roman"/>
                      <w:color w:val="auto"/>
                      <w:lang w:val="en-US" w:eastAsia="zh-CN"/>
                    </w:rPr>
                    <w:t>园区已</w:t>
                  </w:r>
                  <w:r>
                    <w:rPr>
                      <w:rFonts w:hint="default" w:ascii="Times New Roman" w:hAnsi="Times New Roman" w:cs="Times New Roman"/>
                      <w:color w:val="auto"/>
                    </w:rPr>
                    <w:t>有供电系统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环保工程</w:t>
                  </w: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废水</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本项目无生产废水产生及排放；生活污水排放量240m</w:t>
                  </w:r>
                  <w:r>
                    <w:rPr>
                      <w:rFonts w:hint="default" w:ascii="Times New Roman" w:hAnsi="Times New Roman" w:cs="Times New Roman"/>
                      <w:color w:val="auto"/>
                      <w:vertAlign w:val="superscript"/>
                    </w:rPr>
                    <w:t>3</w:t>
                  </w:r>
                  <w:r>
                    <w:rPr>
                      <w:rFonts w:hint="default" w:ascii="Times New Roman" w:hAnsi="Times New Roman" w:cs="Times New Roman"/>
                      <w:color w:val="auto"/>
                    </w:rPr>
                    <w:t>/a，经化粪池处理后进入市政管网，最终进武进城区污水处理厂集中处理，尾水排入采菱港。</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生活污水排放</w:t>
                  </w:r>
                  <w:r>
                    <w:rPr>
                      <w:rFonts w:hint="default" w:ascii="Times New Roman" w:hAnsi="Times New Roman" w:cs="Times New Roman"/>
                      <w:color w:val="auto"/>
                    </w:rPr>
                    <w:t>依托</w:t>
                  </w:r>
                  <w:r>
                    <w:rPr>
                      <w:rFonts w:hint="default" w:ascii="Times New Roman" w:hAnsi="Times New Roman" w:cs="Times New Roman"/>
                      <w:color w:val="auto"/>
                      <w:lang w:val="en-US" w:eastAsia="zh-CN"/>
                    </w:rPr>
                    <w:t>园区</w:t>
                  </w:r>
                  <w:r>
                    <w:rPr>
                      <w:rFonts w:hint="default" w:ascii="Times New Roman" w:hAnsi="Times New Roman" w:cs="Times New Roman"/>
                      <w:color w:val="auto"/>
                    </w:rPr>
                    <w:t>已有的</w:t>
                  </w:r>
                  <w:r>
                    <w:rPr>
                      <w:rFonts w:hint="default" w:ascii="Times New Roman" w:hAnsi="Times New Roman" w:cs="Times New Roman"/>
                      <w:color w:val="auto"/>
                      <w:lang w:val="en-US" w:eastAsia="zh-CN"/>
                    </w:rPr>
                    <w:t>化粪池及污水</w:t>
                  </w:r>
                  <w:r>
                    <w:rPr>
                      <w:rFonts w:hint="default" w:ascii="Times New Roman" w:hAnsi="Times New Roman" w:cs="Times New Roman"/>
                      <w:color w:val="auto"/>
                    </w:rPr>
                    <w:t>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945" w:type="dxa"/>
                  <w:vMerge w:val="restart"/>
                  <w:tcBorders>
                    <w:top w:val="single" w:color="auto" w:sz="4" w:space="0"/>
                    <w:left w:val="nil"/>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废气</w:t>
                  </w:r>
                </w:p>
              </w:tc>
              <w:tc>
                <w:tcPr>
                  <w:tcW w:w="129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移动式活性炭吸附</w:t>
                  </w:r>
                  <w:r>
                    <w:rPr>
                      <w:rFonts w:hint="default" w:ascii="Times New Roman" w:hAnsi="Times New Roman" w:cs="Times New Roman"/>
                      <w:color w:val="auto"/>
                      <w:lang w:val="en-US" w:eastAsia="zh-CN"/>
                    </w:rPr>
                    <w:t>装置</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处理效率90%</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注塑</w:t>
                  </w:r>
                  <w:r>
                    <w:rPr>
                      <w:rFonts w:hint="default" w:ascii="Times New Roman" w:hAnsi="Times New Roman" w:cs="Times New Roman"/>
                      <w:color w:val="auto"/>
                      <w:lang w:val="en-US" w:eastAsia="zh-CN"/>
                    </w:rPr>
                    <w:t>废气经</w:t>
                  </w:r>
                  <w:r>
                    <w:rPr>
                      <w:rFonts w:hint="eastAsia" w:cs="Times New Roman"/>
                      <w:color w:val="auto"/>
                      <w:lang w:val="en-US" w:eastAsia="zh-CN"/>
                    </w:rPr>
                    <w:t>移动式活性炭吸附</w:t>
                  </w:r>
                  <w:r>
                    <w:rPr>
                      <w:rFonts w:hint="default" w:ascii="Times New Roman" w:hAnsi="Times New Roman" w:cs="Times New Roman"/>
                      <w:color w:val="auto"/>
                      <w:lang w:val="en-US" w:eastAsia="zh-CN"/>
                    </w:rPr>
                    <w:t>装置处理后在车间内无组织排放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945" w:type="dxa"/>
                  <w:vMerge w:val="continue"/>
                  <w:tcBorders>
                    <w:left w:val="nil"/>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129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移动式</w:t>
                  </w:r>
                  <w:r>
                    <w:rPr>
                      <w:rFonts w:hint="eastAsia" w:cs="Times New Roman"/>
                      <w:color w:val="auto"/>
                      <w:lang w:val="en-US" w:eastAsia="zh-CN"/>
                    </w:rPr>
                    <w:t>焊接烟尘净化装置</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处理效率90%</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焊接烟尘由移动式</w:t>
                  </w:r>
                  <w:r>
                    <w:rPr>
                      <w:rFonts w:hint="eastAsia" w:cs="Times New Roman"/>
                      <w:color w:val="auto"/>
                      <w:lang w:val="en-US" w:eastAsia="zh-CN"/>
                    </w:rPr>
                    <w:t>焊接烟尘净化装置</w:t>
                  </w:r>
                  <w:r>
                    <w:rPr>
                      <w:rFonts w:hint="default" w:ascii="Times New Roman" w:hAnsi="Times New Roman" w:cs="Times New Roman"/>
                      <w:color w:val="auto"/>
                      <w:lang w:val="en-US" w:eastAsia="zh-CN"/>
                    </w:rPr>
                    <w:t>收集、处理后在车间内无组织排放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噪声</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隔声、减震等噪声污染防治措施</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trPr>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3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固废</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一般固废</w:t>
                  </w:r>
                  <w:r>
                    <w:rPr>
                      <w:rFonts w:hint="eastAsia" w:cs="Times New Roman"/>
                      <w:color w:val="auto"/>
                      <w:lang w:val="en-US" w:eastAsia="zh-CN"/>
                    </w:rPr>
                    <w:t>堆场</w:t>
                  </w:r>
                  <w:r>
                    <w:rPr>
                      <w:rFonts w:hint="default" w:ascii="Times New Roman" w:hAnsi="Times New Roman" w:cs="Times New Roman"/>
                      <w:color w:val="auto"/>
                    </w:rPr>
                    <w:t>1处，面积</w:t>
                  </w:r>
                  <w:r>
                    <w:rPr>
                      <w:rFonts w:hint="eastAsia" w:cs="Times New Roman"/>
                      <w:color w:val="auto"/>
                      <w:lang w:val="en-US" w:eastAsia="zh-CN"/>
                    </w:rPr>
                    <w:t>10</w:t>
                  </w:r>
                  <w:r>
                    <w:rPr>
                      <w:rFonts w:hint="default" w:ascii="Times New Roman" w:hAnsi="Times New Roman" w:cs="Times New Roman"/>
                      <w:color w:val="auto"/>
                    </w:rPr>
                    <w:t>m</w:t>
                  </w:r>
                  <w:r>
                    <w:rPr>
                      <w:rFonts w:hint="default" w:ascii="Times New Roman" w:hAnsi="Times New Roman" w:cs="Times New Roman"/>
                      <w:color w:val="auto"/>
                      <w:vertAlign w:val="superscript"/>
                    </w:rPr>
                    <w:t>2</w:t>
                  </w:r>
                  <w:r>
                    <w:rPr>
                      <w:rFonts w:hint="default" w:ascii="Times New Roman" w:hAnsi="Times New Roman" w:cs="Times New Roman"/>
                      <w:color w:val="auto"/>
                    </w:rPr>
                    <w:t>；危废仓库1处，占地面积</w:t>
                  </w:r>
                  <w:r>
                    <w:rPr>
                      <w:rFonts w:hint="eastAsia" w:cs="Times New Roman"/>
                      <w:color w:val="auto"/>
                      <w:lang w:val="en-US" w:eastAsia="zh-CN"/>
                    </w:rPr>
                    <w:t>5</w:t>
                  </w:r>
                  <w:r>
                    <w:rPr>
                      <w:rFonts w:hint="default" w:ascii="Times New Roman" w:hAnsi="Times New Roman" w:cs="Times New Roman"/>
                      <w:color w:val="auto"/>
                    </w:rPr>
                    <w:t>m</w:t>
                  </w:r>
                  <w:r>
                    <w:rPr>
                      <w:rFonts w:hint="default" w:ascii="Times New Roman" w:hAnsi="Times New Roman" w:cs="Times New Roman"/>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rPr>
                    <w:t>新建</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一般固废</w:t>
                  </w:r>
                  <w:r>
                    <w:rPr>
                      <w:rFonts w:hint="eastAsia" w:cs="Times New Roman"/>
                      <w:color w:val="auto"/>
                      <w:lang w:val="en-US" w:eastAsia="zh-CN"/>
                    </w:rPr>
                    <w:t>堆场</w:t>
                  </w:r>
                  <w:r>
                    <w:rPr>
                      <w:rFonts w:hint="default" w:ascii="Times New Roman" w:hAnsi="Times New Roman" w:cs="Times New Roman"/>
                      <w:color w:val="auto"/>
                      <w:lang w:val="en-US" w:eastAsia="zh-CN"/>
                    </w:rPr>
                    <w:t>及危废仓库位于</w:t>
                  </w:r>
                  <w:r>
                    <w:rPr>
                      <w:rFonts w:hint="eastAsia" w:cs="Times New Roman"/>
                      <w:color w:val="auto"/>
                      <w:lang w:val="en-US" w:eastAsia="zh-CN"/>
                    </w:rPr>
                    <w:t>生产车间内</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6、厂区周边环境概况</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本项目位于</w:t>
            </w:r>
            <w:r>
              <w:rPr>
                <w:rFonts w:hint="default" w:ascii="Times New Roman" w:hAnsi="Times New Roman" w:eastAsia="宋体" w:cs="Times New Roman"/>
                <w:color w:val="auto"/>
                <w:sz w:val="24"/>
                <w:lang w:val="en-US" w:eastAsia="zh-CN" w:bidi="ar"/>
              </w:rPr>
              <w:t>武进经济开发区</w:t>
            </w:r>
            <w:r>
              <w:rPr>
                <w:rFonts w:hint="default" w:ascii="Times New Roman" w:hAnsi="Times New Roman" w:eastAsia="宋体" w:cs="Times New Roman"/>
                <w:color w:val="auto"/>
                <w:sz w:val="24"/>
                <w:lang w:bidi="ar"/>
              </w:rPr>
              <w:t>，租赁常州市滨湖生态城建设有限公司常州西太湖科技产业园兰香路8号5号标准厂房5楼厂房1000平方米，</w:t>
            </w:r>
            <w:r>
              <w:rPr>
                <w:rFonts w:hint="eastAsia" w:ascii="Times New Roman" w:hAnsi="Times New Roman" w:eastAsia="宋体" w:cs="Times New Roman"/>
                <w:color w:val="auto"/>
                <w:sz w:val="24"/>
                <w:lang w:val="en-US" w:eastAsia="zh-CN" w:bidi="ar"/>
              </w:rPr>
              <w:t>距离本项目最近敏感点为西侧205m的武进经济开发区职工宿舍。</w:t>
            </w:r>
            <w:r>
              <w:rPr>
                <w:rFonts w:hint="default" w:ascii="Times New Roman" w:hAnsi="Times New Roman" w:eastAsia="宋体" w:cs="Times New Roman"/>
                <w:color w:val="auto"/>
                <w:sz w:val="24"/>
                <w:lang w:bidi="ar"/>
              </w:rPr>
              <w:t>厂区平面布置图见</w:t>
            </w:r>
            <w:r>
              <w:rPr>
                <w:rFonts w:hint="default" w:ascii="Times New Roman" w:hAnsi="Times New Roman" w:eastAsia="宋体" w:cs="Times New Roman"/>
                <w:b/>
                <w:color w:val="auto"/>
                <w:sz w:val="24"/>
                <w:lang w:bidi="ar"/>
              </w:rPr>
              <w:t>附图2</w:t>
            </w:r>
            <w:r>
              <w:rPr>
                <w:rFonts w:hint="default" w:ascii="Times New Roman" w:hAnsi="Times New Roman" w:eastAsia="宋体" w:cs="Times New Roman"/>
                <w:color w:val="auto"/>
                <w:sz w:val="24"/>
                <w:lang w:bidi="ar"/>
              </w:rPr>
              <w:t>。</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7、环保投资</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建设项目环保投资</w:t>
            </w:r>
            <w:r>
              <w:rPr>
                <w:rFonts w:hint="eastAsia" w:ascii="Times New Roman" w:hAnsi="Times New Roman" w:eastAsia="宋体" w:cs="Times New Roman"/>
                <w:color w:val="auto"/>
                <w:sz w:val="24"/>
                <w:lang w:val="en-US" w:eastAsia="zh-CN" w:bidi="ar"/>
              </w:rPr>
              <w:t>15</w:t>
            </w:r>
            <w:r>
              <w:rPr>
                <w:rFonts w:hint="default" w:ascii="Times New Roman" w:hAnsi="Times New Roman" w:eastAsia="宋体" w:cs="Times New Roman"/>
                <w:color w:val="auto"/>
                <w:sz w:val="24"/>
                <w:lang w:bidi="ar"/>
              </w:rPr>
              <w:t>万元人民币，占总投资额的</w:t>
            </w:r>
            <w:r>
              <w:rPr>
                <w:rFonts w:hint="eastAsia" w:ascii="Times New Roman" w:hAnsi="Times New Roman" w:eastAsia="宋体" w:cs="Times New Roman"/>
                <w:color w:val="auto"/>
                <w:sz w:val="24"/>
                <w:lang w:val="en-US" w:eastAsia="zh-CN" w:bidi="ar"/>
              </w:rPr>
              <w:t>15</w:t>
            </w:r>
            <w:r>
              <w:rPr>
                <w:rFonts w:hint="default" w:ascii="Times New Roman" w:hAnsi="Times New Roman" w:eastAsia="宋体" w:cs="Times New Roman"/>
                <w:color w:val="auto"/>
                <w:sz w:val="24"/>
                <w:lang w:bidi="ar"/>
              </w:rPr>
              <w:t>%。具体见下表。</w:t>
            </w:r>
          </w:p>
          <w:p>
            <w:pPr>
              <w:spacing w:line="360" w:lineRule="auto"/>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表1-</w:t>
            </w:r>
            <w:r>
              <w:rPr>
                <w:rFonts w:hint="default" w:ascii="Times New Roman" w:hAnsi="Times New Roman" w:eastAsia="宋体" w:cs="Times New Roman"/>
                <w:b/>
                <w:color w:val="auto"/>
                <w:sz w:val="24"/>
                <w:lang w:val="en-US" w:eastAsia="zh-CN" w:bidi="ar"/>
              </w:rPr>
              <w:t>6</w:t>
            </w:r>
            <w:r>
              <w:rPr>
                <w:rFonts w:hint="default" w:ascii="Times New Roman" w:hAnsi="Times New Roman" w:eastAsia="宋体" w:cs="Times New Roman"/>
                <w:b/>
                <w:color w:val="auto"/>
                <w:sz w:val="24"/>
                <w:lang w:bidi="ar"/>
              </w:rPr>
              <w:t xml:space="preserve"> 环保投资一览表</w:t>
            </w:r>
          </w:p>
          <w:tbl>
            <w:tblPr>
              <w:tblStyle w:val="14"/>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74"/>
              <w:gridCol w:w="1899"/>
              <w:gridCol w:w="1262"/>
              <w:gridCol w:w="251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序号</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内容</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项目</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投资（万元）</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预期效果</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ascii="Times New Roman" w:hAnsi="Times New Roman" w:eastAsia="宋体" w:cs="Times New Roman"/>
                      <w:color w:val="auto"/>
                      <w:lang w:val="en-US" w:eastAsia="zh-CN"/>
                    </w:rPr>
                  </w:pPr>
                  <w:r>
                    <w:rPr>
                      <w:rFonts w:hint="eastAsia" w:cs="Times New Roman"/>
                      <w:color w:val="auto"/>
                      <w:lang w:val="en-US" w:eastAsia="zh-CN"/>
                    </w:rPr>
                    <w:t>1</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jc w:val="both"/>
                    <w:rPr>
                      <w:rFonts w:hint="default" w:ascii="Times New Roman" w:hAnsi="Times New Roman" w:eastAsia="宋体" w:cs="Times New Roman"/>
                      <w:color w:val="auto"/>
                      <w:kern w:val="0"/>
                      <w:lang w:val="en-US" w:eastAsia="zh-CN"/>
                    </w:rPr>
                  </w:pPr>
                  <w:r>
                    <w:rPr>
                      <w:rFonts w:hint="default" w:ascii="Times New Roman" w:hAnsi="Times New Roman" w:cs="Times New Roman"/>
                      <w:color w:val="auto"/>
                      <w:kern w:val="0"/>
                      <w:lang w:val="en-US" w:eastAsia="zh-CN"/>
                    </w:rPr>
                    <w:t>废气治理</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移动式焊接烟尘净化装置</w:t>
                  </w:r>
                  <w:r>
                    <w:rPr>
                      <w:rFonts w:hint="eastAsia" w:cs="Times New Roman"/>
                      <w:color w:val="auto"/>
                      <w:lang w:val="en-US" w:eastAsia="zh-CN"/>
                    </w:rPr>
                    <w:t>1</w:t>
                  </w:r>
                  <w:r>
                    <w:rPr>
                      <w:rFonts w:hint="default" w:ascii="Times New Roman" w:hAnsi="Times New Roman" w:cs="Times New Roman"/>
                      <w:color w:val="auto"/>
                      <w:lang w:val="en-US" w:eastAsia="zh-CN"/>
                    </w:rPr>
                    <w:t>套、</w:t>
                  </w:r>
                  <w:r>
                    <w:rPr>
                      <w:rFonts w:hint="eastAsia" w:cs="Times New Roman"/>
                      <w:color w:val="auto"/>
                      <w:lang w:val="en-US" w:eastAsia="zh-CN"/>
                    </w:rPr>
                    <w:t>移动式活性炭吸附</w:t>
                  </w:r>
                  <w:r>
                    <w:rPr>
                      <w:rFonts w:hint="default" w:ascii="Times New Roman" w:hAnsi="Times New Roman" w:cs="Times New Roman"/>
                      <w:color w:val="auto"/>
                      <w:lang w:val="en-US" w:eastAsia="zh-CN"/>
                    </w:rPr>
                    <w:t>装置</w:t>
                  </w:r>
                  <w:r>
                    <w:rPr>
                      <w:rFonts w:hint="eastAsia" w:cs="Times New Roman"/>
                      <w:color w:val="auto"/>
                      <w:lang w:val="en-US" w:eastAsia="zh-CN"/>
                    </w:rPr>
                    <w:t>3套</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lang w:val="en-US" w:eastAsia="zh-CN"/>
                    </w:rPr>
                  </w:pPr>
                  <w:r>
                    <w:rPr>
                      <w:rFonts w:hint="eastAsia" w:cs="Times New Roman"/>
                      <w:color w:val="auto"/>
                      <w:lang w:val="en-US" w:eastAsia="zh-CN"/>
                    </w:rPr>
                    <w:t>6</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废气经处理后达到排放标准</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2</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kern w:val="0"/>
                    </w:rPr>
                  </w:pPr>
                  <w:r>
                    <w:rPr>
                      <w:rFonts w:hint="default" w:ascii="Times New Roman" w:hAnsi="Times New Roman" w:cs="Times New Roman"/>
                      <w:color w:val="auto"/>
                      <w:kern w:val="0"/>
                    </w:rPr>
                    <w:t>固废治理</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rPr>
                    <w:t>垃圾箱、危废仓库、一般固废</w:t>
                  </w:r>
                  <w:r>
                    <w:rPr>
                      <w:rFonts w:hint="eastAsia" w:cs="Times New Roman"/>
                      <w:color w:val="auto"/>
                      <w:lang w:val="en-US" w:eastAsia="zh-CN"/>
                    </w:rPr>
                    <w:t>堆场</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规范化暂存，全部合理有效处置</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3</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kern w:val="0"/>
                    </w:rPr>
                  </w:pPr>
                  <w:r>
                    <w:rPr>
                      <w:rFonts w:hint="default" w:ascii="Times New Roman" w:hAnsi="Times New Roman" w:cs="Times New Roman"/>
                      <w:color w:val="auto"/>
                      <w:kern w:val="0"/>
                    </w:rPr>
                    <w:t>排污口设置</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排污口环保标志牌</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eastAsia="zh-CN"/>
                    </w:rPr>
                  </w:pPr>
                  <w:r>
                    <w:rPr>
                      <w:rFonts w:hint="eastAsia" w:cs="Times New Roman"/>
                      <w:color w:val="auto"/>
                      <w:lang w:val="en-US" w:eastAsia="zh-CN"/>
                    </w:rPr>
                    <w:t>2</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规范化设置</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新增</w:t>
                  </w:r>
                  <w:r>
                    <w:rPr>
                      <w:rFonts w:hint="default" w:ascii="Times New Roman" w:hAnsi="Times New Roman" w:cs="Times New Roman"/>
                      <w:color w:val="auto"/>
                      <w:lang w:val="en-US" w:eastAsia="zh-CN"/>
                    </w:rPr>
                    <w:t>废水、废气、噪声、</w:t>
                  </w:r>
                  <w:r>
                    <w:rPr>
                      <w:rFonts w:hint="default" w:ascii="Times New Roman" w:hAnsi="Times New Roman" w:cs="Times New Roman"/>
                      <w:color w:val="auto"/>
                    </w:rPr>
                    <w:t>固废环保标志牌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4</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kern w:val="0"/>
                    </w:rPr>
                  </w:pPr>
                  <w:r>
                    <w:rPr>
                      <w:rFonts w:hint="default" w:ascii="Times New Roman" w:hAnsi="Times New Roman" w:cs="Times New Roman"/>
                      <w:color w:val="auto"/>
                      <w:kern w:val="0"/>
                    </w:rPr>
                    <w:t>噪声治理</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kern w:val="0"/>
                    </w:rPr>
                  </w:pPr>
                  <w:r>
                    <w:rPr>
                      <w:rFonts w:hint="default" w:ascii="Times New Roman" w:hAnsi="Times New Roman" w:cs="Times New Roman"/>
                      <w:color w:val="auto"/>
                      <w:kern w:val="0"/>
                    </w:rPr>
                    <w:t>主要噪声源隔声及减振措施</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2</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满足功能区要求</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kern w:val="0"/>
                    </w:rPr>
                  </w:pPr>
                  <w:r>
                    <w:rPr>
                      <w:rFonts w:hint="default" w:ascii="Times New Roman" w:hAnsi="Times New Roman" w:cs="Times New Roman"/>
                      <w:color w:val="auto"/>
                      <w:kern w:val="0"/>
                    </w:rPr>
                    <w:t>合计</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lang w:val="en-US"/>
                    </w:rPr>
                  </w:pPr>
                  <w:r>
                    <w:rPr>
                      <w:rFonts w:hint="eastAsia" w:cs="Times New Roman"/>
                      <w:color w:val="auto"/>
                      <w:lang w:val="en-US" w:eastAsia="zh-CN"/>
                    </w:rPr>
                    <w:t>15</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8、员工及劳动制度</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定员1</w:t>
            </w:r>
            <w:r>
              <w:rPr>
                <w:rFonts w:hint="default" w:ascii="Times New Roman" w:hAnsi="Times New Roman" w:eastAsia="宋体" w:cs="Times New Roman"/>
                <w:color w:val="auto"/>
                <w:sz w:val="24"/>
                <w:lang w:bidi="ar"/>
              </w:rPr>
              <w:t>0人，年工作时间</w:t>
            </w:r>
            <w:r>
              <w:rPr>
                <w:rFonts w:hint="eastAsia" w:ascii="Times New Roman" w:hAnsi="Times New Roman" w:eastAsia="宋体" w:cs="Times New Roman"/>
                <w:color w:val="auto"/>
                <w:sz w:val="24"/>
                <w:lang w:val="en-US" w:eastAsia="zh-CN" w:bidi="ar"/>
              </w:rPr>
              <w:t>30</w:t>
            </w:r>
            <w:r>
              <w:rPr>
                <w:rFonts w:hint="default"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一</w:t>
            </w:r>
            <w:r>
              <w:rPr>
                <w:rFonts w:hint="default" w:ascii="Times New Roman" w:hAnsi="Times New Roman" w:eastAsia="宋体" w:cs="Times New Roman"/>
                <w:color w:val="auto"/>
                <w:sz w:val="24"/>
                <w:lang w:bidi="ar"/>
              </w:rPr>
              <w:t>班制，每班8小时，厂房内不</w:t>
            </w:r>
            <w:r>
              <w:rPr>
                <w:rFonts w:hint="default" w:ascii="Times New Roman" w:hAnsi="Times New Roman" w:eastAsia="宋体" w:cs="Times New Roman"/>
                <w:color w:val="auto"/>
                <w:sz w:val="24"/>
                <w:lang w:val="en-US" w:eastAsia="zh-CN" w:bidi="ar"/>
              </w:rPr>
              <w:t>设</w:t>
            </w:r>
            <w:r>
              <w:rPr>
                <w:rFonts w:hint="default" w:ascii="Times New Roman" w:hAnsi="Times New Roman" w:eastAsia="宋体" w:cs="Times New Roman"/>
                <w:color w:val="auto"/>
                <w:sz w:val="24"/>
                <w:lang w:bidi="ar"/>
              </w:rPr>
              <w:t>食堂、宿舍。</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9、产业政策相符性分析</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（1）本项目不属于《产业结构调整指导目录（2011年本）（2016年修订）》（中华人民共和国国家发展和改革委员会令第36号，2016年3月25日）中的限制和淘汰类项目。</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bidi="ar"/>
              </w:rPr>
              <w:t>（2）</w:t>
            </w:r>
            <w:r>
              <w:rPr>
                <w:rFonts w:hint="default" w:ascii="Times New Roman" w:hAnsi="Times New Roman" w:eastAsia="宋体" w:cs="Times New Roman"/>
                <w:color w:val="auto"/>
                <w:sz w:val="24"/>
                <w:lang w:eastAsia="zh-CN" w:bidi="ar"/>
              </w:rPr>
              <w:t>本项目产品不属于《省政府办公厅关于印发江苏省工业和信息产业结构调整指导目录（2012 年本）的通知》（苏政办发[2013]9 号），与修改《江苏省工业和信息产业结构调整指导目录（2012 年本）》（苏经信产业[2013]183 号）以及《省政府办公厅转发省经济和信息化委省发展改革委江苏省工业和信息产业结构调整限制淘汰目录和能耗限额的通知》（苏政办发[2015]118 号）中限制和淘汰类。</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eastAsia="zh-CN" w:bidi="ar"/>
              </w:rPr>
              <w:t>）本项目不属于市政府办公室关于转发《省政府办公厅转发省经济和信息化委省发展改革委江苏省工业和信息产业结构调整限制淘汰目录和能耗限额的通知》的通知（常政办发[2016]51 号）中的限制类和淘汰类，不涉及相关能耗限值。</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4</w:t>
            </w:r>
            <w:r>
              <w:rPr>
                <w:rFonts w:hint="default" w:ascii="Times New Roman" w:hAnsi="Times New Roman" w:eastAsia="宋体" w:cs="Times New Roman"/>
                <w:color w:val="auto"/>
                <w:sz w:val="24"/>
                <w:lang w:eastAsia="zh-CN" w:bidi="ar"/>
              </w:rPr>
              <w:t>）本项目</w:t>
            </w:r>
            <w:r>
              <w:rPr>
                <w:rFonts w:hint="default" w:ascii="Times New Roman" w:hAnsi="Times New Roman" w:eastAsia="宋体" w:cs="Times New Roman"/>
                <w:color w:val="auto"/>
                <w:sz w:val="24"/>
                <w:lang w:bidi="ar"/>
              </w:rPr>
              <w:t>已于2018年</w:t>
            </w:r>
            <w:r>
              <w:rPr>
                <w:rFonts w:hint="eastAsia" w:ascii="Times New Roman" w:hAnsi="Times New Roman" w:eastAsia="宋体" w:cs="Times New Roman"/>
                <w:color w:val="auto"/>
                <w:sz w:val="24"/>
                <w:lang w:val="en-US" w:eastAsia="zh-CN" w:bidi="ar"/>
              </w:rPr>
              <w:t>10</w:t>
            </w:r>
            <w:r>
              <w:rPr>
                <w:rFonts w:hint="default"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日取得江苏武进经济开发区管委会出具的</w:t>
            </w:r>
            <w:r>
              <w:rPr>
                <w:rFonts w:hint="eastAsia" w:ascii="Times New Roman" w:hAnsi="Times New Roman" w:eastAsia="宋体" w:cs="Times New Roman"/>
                <w:color w:val="auto"/>
                <w:sz w:val="24"/>
                <w:lang w:val="en-US" w:eastAsia="zh-CN" w:bidi="ar"/>
              </w:rPr>
              <w:t>备案证</w:t>
            </w:r>
            <w:r>
              <w:rPr>
                <w:rFonts w:hint="default" w:ascii="Times New Roman" w:hAnsi="Times New Roman" w:eastAsia="宋体" w:cs="Times New Roman"/>
                <w:color w:val="auto"/>
                <w:sz w:val="24"/>
                <w:lang w:bidi="ar"/>
              </w:rPr>
              <w:t>（备案号：武经发管备[2018]118号）。</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eastAsia="zh-CN" w:bidi="ar"/>
              </w:rPr>
              <w:t>）本项目位于太湖流域三级保护区内，根据《太湖流域管理条例》（中华人民共和国国务院令第 604 号）、《江苏省人民代表大会常务委员会关于修改〈江苏省太湖水污染防治条例〉的决定》（江苏省人大常委会公告第 71 号）的规定和《省政府关于印发江苏省太湖水污染治理工作方案的通知》（苏政发[2007]97 号），太湖流域一、二、三级保护区禁止下列行为：新建、改建、扩建化学制浆造纸、制革、酿造、染料、印染、电镀以及其他排放含磷、氮等污染物的企业和项目，城镇污水集中处理等环境基础设施项目和第四十六条规定的情形除外。本项目无生产废水产生及排放；生活污水经化粪池处理后进入市政管网，最终进武进城区污水处理厂集中处理，尾水排入采菱港，因此本项目符合太湖流域相关文件规定。</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6</w:t>
            </w:r>
            <w:r>
              <w:rPr>
                <w:rFonts w:hint="default" w:ascii="Times New Roman" w:hAnsi="Times New Roman" w:eastAsia="宋体" w:cs="Times New Roman"/>
                <w:color w:val="auto"/>
                <w:sz w:val="24"/>
                <w:lang w:bidi="ar"/>
              </w:rPr>
              <w:t>）与“两减六治三提升”专项行动方案相符性分析</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①治理太湖水环境</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到2020年，太湖湖体高锰酸盐指数和氨氮稳定保持在II类，总磷达到III类，总氮达到V类，流域总氮、总磷污染物排放量均比2015 年削减16%以上，确保饮用水安全、确保不发生大面积湖泛。</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bidi="ar"/>
              </w:rPr>
              <w:t>本项目无生产废水产生及排放；生活污水经化粪池处理后进入市政管网，最终进武进城区污水处理厂集中处理，尾水排入采菱港</w:t>
            </w:r>
            <w:r>
              <w:rPr>
                <w:rFonts w:hint="default" w:ascii="Times New Roman" w:hAnsi="Times New Roman" w:eastAsia="宋体" w:cs="Times New Roman"/>
                <w:color w:val="auto"/>
                <w:sz w:val="24"/>
                <w:lang w:bidi="ar"/>
              </w:rPr>
              <w:t>，与“两减六治三提升”专项行动方案要求相符。</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②治理挥发性有机物污染</w:t>
            </w:r>
          </w:p>
          <w:p>
            <w:pPr>
              <w:numPr>
                <w:ilvl w:val="0"/>
                <w:numId w:val="1"/>
              </w:num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到2020年，全省挥发性有机物（VOCs）排放总量削减20%以上。</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注塑废气经移动式活性炭吸附装置处理后在车间内无组织排放；焊接烟尘由移动式焊接烟尘净化装置收集、处理后在车间内无组织排放，与“两减六治三提升”专项行动方案要求相符。</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与《</w:t>
            </w:r>
            <w:r>
              <w:rPr>
                <w:rFonts w:hint="default"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》(苏政发〔2018〕122号)对照分析</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通知要求：禁止建设生产和使用高VOCs含量的溶剂型涂料、油墨、胶粘剂等项目。以减少苯、甲苯、二甲苯等溶剂和助剂的使用为重点，推进低VOCs含量、低反应活性原辅材料和产品的替代。2020年</w:t>
            </w:r>
            <w:r>
              <w:rPr>
                <w:rFonts w:hint="eastAsia"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全省高活性溶剂和助剂类产品使用减少20%以上。严控“两高”行业产能。严禁新增钢铁、焦化、电解铝、铸造、水泥和平板玻璃等产能。严格执行钢铁、水泥、平板玻璃等行业产能置换实施办法。</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不</w:t>
            </w:r>
            <w:r>
              <w:rPr>
                <w:rFonts w:hint="default" w:ascii="Times New Roman" w:hAnsi="Times New Roman" w:eastAsia="宋体" w:cs="Times New Roman"/>
                <w:color w:val="auto"/>
                <w:sz w:val="24"/>
                <w:lang w:val="en-US" w:eastAsia="zh-CN" w:bidi="ar"/>
              </w:rPr>
              <w:t>使用</w:t>
            </w:r>
            <w:r>
              <w:rPr>
                <w:rFonts w:hint="default" w:ascii="Times New Roman" w:hAnsi="Times New Roman" w:eastAsia="宋体" w:cs="Times New Roman"/>
                <w:color w:val="auto"/>
                <w:sz w:val="24"/>
                <w:lang w:bidi="ar"/>
              </w:rPr>
              <w:t>高VOCs含量的溶剂型涂料、油墨、胶粘剂等，</w:t>
            </w:r>
            <w:r>
              <w:rPr>
                <w:rFonts w:hint="default" w:ascii="Times New Roman" w:hAnsi="Times New Roman" w:eastAsia="宋体" w:cs="Times New Roman"/>
                <w:color w:val="auto"/>
                <w:sz w:val="24"/>
                <w:lang w:val="en-US" w:eastAsia="zh-CN" w:bidi="ar"/>
              </w:rPr>
              <w:t>不属于“两高”行业，</w:t>
            </w:r>
            <w:r>
              <w:rPr>
                <w:rFonts w:hint="default" w:ascii="Times New Roman" w:hAnsi="Times New Roman" w:eastAsia="宋体" w:cs="Times New Roman"/>
                <w:color w:val="auto"/>
                <w:sz w:val="24"/>
                <w:lang w:bidi="ar"/>
              </w:rPr>
              <w:t>符合《</w:t>
            </w:r>
            <w:r>
              <w:rPr>
                <w:rFonts w:hint="default"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》要求。</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8</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val="en-US" w:eastAsia="zh-CN" w:bidi="ar"/>
              </w:rPr>
              <w:t>与《江苏省大气颗粒物污染防治管理办法》2013年8月1号实行对照分析</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val="en-US" w:eastAsia="zh-CN" w:bidi="ar"/>
              </w:rPr>
              <w:t>通知要求：</w:t>
            </w:r>
            <w:r>
              <w:rPr>
                <w:rFonts w:hint="default" w:ascii="Times New Roman" w:hAnsi="Times New Roman" w:eastAsia="宋体" w:cs="Times New Roman"/>
                <w:color w:val="auto"/>
                <w:sz w:val="24"/>
                <w:lang w:bidi="ar"/>
              </w:rPr>
              <w:t>推进产业结构调整</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淘汰落后生产工艺、设备</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提高大气颗粒物污染防治和监督管理水平</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削减工业烟尘、粉尘排放总量。重点控制区严格限制火电、钢铁、水泥等行业的高污染</w:t>
            </w:r>
            <w:r>
              <w:rPr>
                <w:rFonts w:hint="default" w:ascii="Times New Roman" w:hAnsi="Times New Roman" w:eastAsia="宋体" w:cs="Times New Roman"/>
                <w:color w:val="auto"/>
                <w:sz w:val="24"/>
                <w:lang w:eastAsia="zh-CN" w:bidi="ar"/>
              </w:rPr>
              <w:t>。产生烟尘、粉尘的生产和物料运输等环节,应当采取密闭、吸尘、除尘等有效措施,将无组织排放转变为有组织达标排放。</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本项目焊接烟尘由移动式焊接烟尘净化装置收集、处理后在车间内无组织排放，符合《江苏省大气颗粒物污染防治管理办法》要求。</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与《</w:t>
            </w:r>
            <w:r>
              <w:rPr>
                <w:rFonts w:hint="default" w:ascii="Times New Roman" w:hAnsi="Times New Roman" w:eastAsia="宋体" w:cs="Times New Roman"/>
                <w:color w:val="auto"/>
                <w:sz w:val="24"/>
                <w:lang w:eastAsia="zh-CN" w:bidi="ar"/>
              </w:rPr>
              <w:t>江苏省</w:t>
            </w:r>
            <w:r>
              <w:rPr>
                <w:rFonts w:hint="default" w:ascii="Times New Roman" w:hAnsi="Times New Roman" w:eastAsia="宋体" w:cs="Times New Roman"/>
                <w:color w:val="auto"/>
                <w:sz w:val="24"/>
                <w:lang w:val="en-US" w:eastAsia="zh-CN" w:bidi="ar"/>
              </w:rPr>
              <w:t>大气污染防治条例</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lang w:val="en-US" w:eastAsia="zh-CN" w:bidi="ar"/>
              </w:rPr>
              <w:t xml:space="preserve"> 2018年3月28号公布</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lang w:val="en-US" w:eastAsia="zh-CN" w:bidi="ar"/>
              </w:rPr>
              <w:t>实行</w:t>
            </w:r>
            <w:r>
              <w:rPr>
                <w:rFonts w:hint="default" w:ascii="Times New Roman" w:hAnsi="Times New Roman" w:eastAsia="宋体" w:cs="Times New Roman"/>
                <w:color w:val="auto"/>
                <w:sz w:val="24"/>
                <w:lang w:bidi="ar"/>
              </w:rPr>
              <w:t>对照分析</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要求：产生挥发性有机物废气的生产经营活动，应当在密闭空间或者设备中进行，并设置废气收集和处理系统等污染防治设施；保持其正常使用；造船等无法在密闭空间进行的生产经营活动,应当采取有效措施；减少挥发性有机物排放量。</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本项目注塑废气</w:t>
            </w:r>
            <w:r>
              <w:rPr>
                <w:rFonts w:hint="eastAsia" w:ascii="Times New Roman" w:hAnsi="Times New Roman" w:eastAsia="宋体" w:cs="Times New Roman"/>
                <w:color w:val="auto"/>
                <w:sz w:val="24"/>
                <w:lang w:val="en-US" w:eastAsia="zh-CN" w:bidi="ar"/>
              </w:rPr>
              <w:t>产生量很小，因此</w:t>
            </w:r>
            <w:r>
              <w:rPr>
                <w:rFonts w:hint="default" w:ascii="Times New Roman" w:hAnsi="Times New Roman" w:eastAsia="宋体" w:cs="Times New Roman"/>
                <w:color w:val="auto"/>
                <w:sz w:val="24"/>
                <w:lang w:val="en-US" w:eastAsia="zh-CN" w:bidi="ar"/>
              </w:rPr>
              <w:t>经移动式活性炭吸附装置处理后在车间内无组织排放，符合</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lang w:eastAsia="zh-CN" w:bidi="ar"/>
              </w:rPr>
              <w:t>江苏省</w:t>
            </w:r>
            <w:r>
              <w:rPr>
                <w:rFonts w:hint="default" w:ascii="Times New Roman" w:hAnsi="Times New Roman" w:eastAsia="宋体" w:cs="Times New Roman"/>
                <w:color w:val="auto"/>
                <w:sz w:val="24"/>
                <w:lang w:val="en-US" w:eastAsia="zh-CN" w:bidi="ar"/>
              </w:rPr>
              <w:t>大气污染防治条例</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lang w:val="en-US" w:eastAsia="zh-CN" w:bidi="ar"/>
              </w:rPr>
              <w:t>要求。</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综上所述，本项目符合国家和地方产业政策。</w:t>
            </w:r>
          </w:p>
          <w:p>
            <w:pPr>
              <w:pStyle w:val="17"/>
              <w:widowControl/>
              <w:spacing w:line="360" w:lineRule="auto"/>
              <w:ind w:firstLine="482" w:firstLineChars="200"/>
              <w:rPr>
                <w:rFonts w:hint="default" w:ascii="Times New Roman" w:hAnsi="Times New Roman" w:cs="Times New Roman"/>
                <w:b/>
                <w:color w:val="auto"/>
              </w:rPr>
            </w:pPr>
            <w:r>
              <w:rPr>
                <w:rFonts w:hint="default" w:ascii="Times New Roman" w:hAnsi="Times New Roman" w:cs="Times New Roman"/>
                <w:b/>
                <w:color w:val="auto"/>
              </w:rPr>
              <w:t>10、选址相符性</w:t>
            </w:r>
          </w:p>
          <w:p>
            <w:pPr>
              <w:spacing w:line="360" w:lineRule="auto"/>
              <w:ind w:firstLine="480" w:firstLineChars="200"/>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常州德而法电子科技有限公司租用常州市滨湖生态城建设有限公司常州西太湖科技产业园兰香路8号5号标准厂房5楼厂房进行生产，园区已已取得国有土地证（武国用（2018）第09788号），该地块为工业用地（见附件）</w:t>
            </w:r>
            <w:r>
              <w:rPr>
                <w:rFonts w:hint="eastAsia" w:ascii="Times New Roman" w:hAnsi="Times New Roman" w:eastAsia="宋体" w:cs="Times New Roman"/>
                <w:color w:val="auto"/>
                <w:sz w:val="24"/>
                <w:lang w:eastAsia="zh-CN"/>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不属于《限制用地项目目录（2012年本）》和《禁止用地项目目录（2012年本）》中所规定的类别，不属于《江苏省限制用地项目目录（2013年本）》和《江苏省限制用地项目目录（2013年本）》中所规定的类别的项目。</w:t>
            </w:r>
          </w:p>
          <w:p>
            <w:pPr>
              <w:spacing w:line="360" w:lineRule="auto"/>
              <w:ind w:firstLine="480" w:firstLineChars="200"/>
              <w:rPr>
                <w:rFonts w:hint="default" w:ascii="Times New Roman" w:hAnsi="Times New Roman" w:eastAsia="宋体" w:cs="Times New Roman"/>
                <w:color w:val="auto"/>
                <w:sz w:val="24"/>
                <w:highlight w:val="yellow"/>
              </w:rPr>
            </w:pPr>
            <w:r>
              <w:rPr>
                <w:rFonts w:hint="default" w:ascii="Times New Roman" w:hAnsi="Times New Roman" w:eastAsia="宋体" w:cs="Times New Roman"/>
                <w:color w:val="auto"/>
                <w:sz w:val="24"/>
                <w:lang w:bidi="ar"/>
              </w:rPr>
              <w:t>本项目最近距《江苏省生态红线区域保护规划》和《江苏省国家级生态保护红线》中常州市生态红线区域保护区——</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w:t>
            </w:r>
            <w:r>
              <w:rPr>
                <w:rFonts w:hint="default" w:ascii="Times New Roman" w:hAnsi="Times New Roman" w:eastAsia="宋体" w:cs="Times New Roman"/>
                <w:color w:val="auto"/>
                <w:sz w:val="24"/>
                <w:lang w:bidi="ar"/>
              </w:rPr>
              <w:t>内约</w:t>
            </w:r>
            <w:r>
              <w:rPr>
                <w:rFonts w:hint="default" w:ascii="Times New Roman" w:hAnsi="Times New Roman" w:eastAsia="宋体" w:cs="Times New Roman"/>
                <w:color w:val="auto"/>
                <w:sz w:val="24"/>
                <w:lang w:val="en-US" w:eastAsia="zh-CN" w:bidi="ar"/>
              </w:rPr>
              <w:t>4</w:t>
            </w:r>
            <w:r>
              <w:rPr>
                <w:rFonts w:hint="eastAsia" w:ascii="Times New Roman" w:hAnsi="Times New Roman" w:eastAsia="宋体" w:cs="Times New Roman"/>
                <w:color w:val="auto"/>
                <w:sz w:val="24"/>
                <w:lang w:val="en-US" w:eastAsia="zh-CN" w:bidi="ar"/>
              </w:rPr>
              <w:t>k</w:t>
            </w:r>
            <w:r>
              <w:rPr>
                <w:rFonts w:hint="default" w:ascii="Times New Roman" w:hAnsi="Times New Roman" w:eastAsia="宋体" w:cs="Times New Roman"/>
                <w:color w:val="auto"/>
                <w:sz w:val="24"/>
                <w:lang w:bidi="ar"/>
              </w:rPr>
              <w:t>m，项目不在</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w:t>
            </w:r>
            <w:r>
              <w:rPr>
                <w:rFonts w:hint="default" w:ascii="Times New Roman" w:hAnsi="Times New Roman" w:eastAsia="宋体" w:cs="Times New Roman"/>
                <w:color w:val="auto"/>
                <w:sz w:val="24"/>
                <w:lang w:bidi="ar"/>
              </w:rPr>
              <w:t>内，且不属于湿地生态系统保护二级管控区禁止活动内容。</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bidi="ar"/>
              </w:rPr>
              <w:t>因此，该用地性质符合要求</w:t>
            </w:r>
            <w:r>
              <w:rPr>
                <w:rFonts w:hint="default" w:ascii="Times New Roman" w:hAnsi="Times New Roman" w:eastAsia="宋体" w:cs="Times New Roman"/>
                <w:color w:val="auto"/>
                <w:sz w:val="24"/>
                <w:lang w:eastAsia="zh-CN" w:bidi="ar"/>
              </w:rPr>
              <w:t>。</w:t>
            </w:r>
          </w:p>
          <w:p>
            <w:pPr>
              <w:spacing w:line="360" w:lineRule="auto"/>
              <w:ind w:firstLine="422" w:firstLineChars="200"/>
              <w:rPr>
                <w:rFonts w:hint="default" w:ascii="Times New Roman" w:hAnsi="Times New Roman" w:cs="Times New Roman"/>
                <w:b/>
                <w:color w:val="auto"/>
              </w:rPr>
            </w:pPr>
            <w:r>
              <w:rPr>
                <w:rFonts w:hint="default" w:ascii="Times New Roman" w:hAnsi="Times New Roman" w:cs="Times New Roman"/>
                <w:b/>
                <w:bCs/>
                <w:color w:val="auto"/>
                <w:lang w:val="en-US" w:eastAsia="zh-CN"/>
              </w:rPr>
              <w:t>11、</w:t>
            </w:r>
            <w:r>
              <w:rPr>
                <w:rFonts w:hint="default" w:ascii="Times New Roman" w:hAnsi="Times New Roman" w:cs="Times New Roman"/>
                <w:b/>
                <w:color w:val="auto"/>
              </w:rPr>
              <w:t>三线一单”符合性判定</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根据《关于以改善环境质量为核心加强环境影响评价管理的通知》（环环评[2016]150号文），本项目与“三线一单”相符性分析主要体现在以下四个方面：</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①生态红线</w:t>
            </w:r>
          </w:p>
          <w:p>
            <w:pPr>
              <w:spacing w:line="360" w:lineRule="auto"/>
              <w:ind w:firstLine="480" w:firstLineChars="200"/>
              <w:rPr>
                <w:rFonts w:hint="default" w:ascii="Times New Roman" w:hAnsi="Times New Roman" w:eastAsia="宋体" w:cs="Times New Roman"/>
                <w:color w:val="auto"/>
                <w:sz w:val="24"/>
                <w:highlight w:val="yellow"/>
              </w:rPr>
            </w:pPr>
            <w:r>
              <w:rPr>
                <w:rFonts w:hint="default" w:ascii="Times New Roman" w:hAnsi="Times New Roman" w:eastAsia="宋体" w:cs="Times New Roman"/>
                <w:color w:val="auto"/>
                <w:sz w:val="24"/>
                <w:lang w:bidi="ar"/>
              </w:rPr>
              <w:t>本项目最近距《江苏省生态红线区域保护规划》和《江苏省国家级生态保护红线》中常州市生态红线区域保护区——</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w:t>
            </w:r>
            <w:r>
              <w:rPr>
                <w:rFonts w:hint="default" w:ascii="Times New Roman" w:hAnsi="Times New Roman" w:eastAsia="宋体" w:cs="Times New Roman"/>
                <w:color w:val="auto"/>
                <w:sz w:val="24"/>
                <w:lang w:bidi="ar"/>
              </w:rPr>
              <w:t>内约</w:t>
            </w:r>
            <w:r>
              <w:rPr>
                <w:rFonts w:hint="default" w:ascii="Times New Roman" w:hAnsi="Times New Roman" w:eastAsia="宋体" w:cs="Times New Roman"/>
                <w:color w:val="auto"/>
                <w:sz w:val="24"/>
                <w:lang w:val="en-US" w:eastAsia="zh-CN" w:bidi="ar"/>
              </w:rPr>
              <w:t>4</w:t>
            </w:r>
            <w:r>
              <w:rPr>
                <w:rFonts w:hint="eastAsia" w:ascii="Times New Roman" w:hAnsi="Times New Roman" w:eastAsia="宋体" w:cs="Times New Roman"/>
                <w:color w:val="auto"/>
                <w:sz w:val="24"/>
                <w:lang w:val="en-US" w:eastAsia="zh-CN" w:bidi="ar"/>
              </w:rPr>
              <w:t>k</w:t>
            </w:r>
            <w:r>
              <w:rPr>
                <w:rFonts w:hint="default" w:ascii="Times New Roman" w:hAnsi="Times New Roman" w:eastAsia="宋体" w:cs="Times New Roman"/>
                <w:color w:val="auto"/>
                <w:sz w:val="24"/>
                <w:lang w:bidi="ar"/>
              </w:rPr>
              <w:t>m，项目不在</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w:t>
            </w:r>
            <w:r>
              <w:rPr>
                <w:rFonts w:hint="default" w:ascii="Times New Roman" w:hAnsi="Times New Roman" w:eastAsia="宋体" w:cs="Times New Roman"/>
                <w:color w:val="auto"/>
                <w:sz w:val="24"/>
                <w:lang w:bidi="ar"/>
              </w:rPr>
              <w:t>内，且不属于湿地生态系统保护二级管控区禁止活动内容。</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②环境质量底线</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根据《常州市2017年环境质量公报》，常州市2017年环境空气质量不达标，为非达标区，为切实做好2018年大气污染防治工作，改善全市空气环境质量，中共常州市委、常州市人民政府印发了《常州市2018年大气污染防治攻坚行动方案》，提出的工作内容包括降低燃煤消耗量、对工业企业采取强制减排措施、加强工业烟气污染治理、实施颗粒物无组织排放深度整治、全面排查与达标排放、扎实推进重点行业挥发性有机物（VOCs）治理、提高城市管理水平、加强移动源污染防治、加大产业结构调整力度等。工作目标为6-12月全市主要污染物平均减排比例不低于43%，到2018年底，市区空气质量二级以上优良天数比例达到69.7%以上，PM</w:t>
            </w:r>
            <w:r>
              <w:rPr>
                <w:rFonts w:hint="default" w:ascii="Times New Roman" w:hAnsi="Times New Roman" w:eastAsia="宋体" w:cs="Times New Roman"/>
                <w:color w:val="auto"/>
                <w:sz w:val="24"/>
                <w:vertAlign w:val="subscript"/>
                <w:lang w:val="en-US" w:eastAsia="zh-CN" w:bidi="ar"/>
              </w:rPr>
              <w:t>2.5</w:t>
            </w:r>
            <w:r>
              <w:rPr>
                <w:rFonts w:hint="default" w:ascii="Times New Roman" w:hAnsi="Times New Roman" w:eastAsia="宋体" w:cs="Times New Roman"/>
                <w:color w:val="auto"/>
                <w:sz w:val="24"/>
                <w:lang w:val="en-US" w:eastAsia="zh-CN" w:bidi="ar"/>
              </w:rPr>
              <w:t>年均浓度控制在47微克/立方米以下。本项目所在区域范围内环境空气中SO</w:t>
            </w:r>
            <w:r>
              <w:rPr>
                <w:rFonts w:hint="default" w:ascii="Times New Roman" w:hAnsi="Times New Roman" w:eastAsia="宋体" w:cs="Times New Roman"/>
                <w:color w:val="auto"/>
                <w:sz w:val="24"/>
                <w:vertAlign w:val="subscript"/>
                <w:lang w:val="en-US" w:eastAsia="zh-CN" w:bidi="ar"/>
              </w:rPr>
              <w:t>2</w:t>
            </w:r>
            <w:r>
              <w:rPr>
                <w:rFonts w:hint="default" w:ascii="Times New Roman" w:hAnsi="Times New Roman" w:eastAsia="宋体" w:cs="Times New Roman"/>
                <w:color w:val="auto"/>
                <w:sz w:val="24"/>
                <w:lang w:val="en-US" w:eastAsia="zh-CN" w:bidi="ar"/>
              </w:rPr>
              <w:t>、 NO</w:t>
            </w:r>
            <w:r>
              <w:rPr>
                <w:rFonts w:hint="default" w:ascii="Times New Roman" w:hAnsi="Times New Roman" w:eastAsia="宋体" w:cs="Times New Roman"/>
                <w:color w:val="auto"/>
                <w:sz w:val="24"/>
                <w:vertAlign w:val="subscript"/>
                <w:lang w:val="en-US" w:eastAsia="zh-CN" w:bidi="ar"/>
              </w:rPr>
              <w:t>2</w:t>
            </w:r>
            <w:r>
              <w:rPr>
                <w:rFonts w:hint="default" w:ascii="Times New Roman" w:hAnsi="Times New Roman" w:eastAsia="宋体" w:cs="Times New Roman"/>
                <w:color w:val="auto"/>
                <w:sz w:val="24"/>
                <w:lang w:val="en-US" w:eastAsia="zh-CN" w:bidi="ar"/>
              </w:rPr>
              <w:t>小时浓度及PM</w:t>
            </w:r>
            <w:r>
              <w:rPr>
                <w:rFonts w:hint="default" w:ascii="Times New Roman" w:hAnsi="Times New Roman" w:eastAsia="宋体" w:cs="Times New Roman"/>
                <w:color w:val="auto"/>
                <w:sz w:val="24"/>
                <w:vertAlign w:val="subscript"/>
                <w:lang w:val="en-US" w:eastAsia="zh-CN" w:bidi="ar"/>
              </w:rPr>
              <w:t>10</w:t>
            </w:r>
            <w:r>
              <w:rPr>
                <w:rFonts w:hint="default" w:ascii="Times New Roman" w:hAnsi="Times New Roman" w:eastAsia="宋体" w:cs="Times New Roman"/>
                <w:color w:val="auto"/>
                <w:sz w:val="24"/>
                <w:lang w:val="en-US" w:eastAsia="zh-CN" w:bidi="ar"/>
              </w:rPr>
              <w:t>日均浓度符合《环境空气质量标准》（GB3095-2012）表1中二级标准。</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采菱港监测断面的pH、COD、BOD、SS、氨氮、TP、TN、石油类均能达到《地表水环境质量标准》中Ⅳ类地表水标准限值。</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本项目各厂界昼间噪声均能达到《声环境质量标准》(GB3096-2008)</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val="en-US" w:eastAsia="zh-CN" w:bidi="ar"/>
              </w:rPr>
              <w:t>类标准。</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无生产废水产生及排放；生活污水经化粪池处理后进入市政管网，最终进武进城区污水处理厂集中处理，尾水排入采菱港；注塑废气注塑废气经移动式活性炭吸附装置处理后在车间内无组织排放；焊接烟尘由移动式焊接烟尘净化装置收集、处理后在车间内无组织排放；危险固废收集后委托有资质单位处理，一般固废外售综合利用，生活垃圾由环卫部门收集处理。采取以上污染防治措施后，各类污染物能实现稳定达标排放，不会对周边环境造成不良影响，不改变区域环境功能区质量要求，能维持环境功能区质量现状。</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③资源利用上线</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本项目营运过程中消耗一定量的电、水、天然气等资源，项目资源消耗量相对区域资源利用总量较少，符合资源利用上限要求。</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④环境准入负面清单</w:t>
            </w:r>
          </w:p>
          <w:p>
            <w:pPr>
              <w:spacing w:line="360" w:lineRule="auto"/>
              <w:ind w:firstLine="480" w:firstLineChars="200"/>
              <w:rPr>
                <w:rFonts w:hint="default" w:ascii="Times New Roman" w:hAnsi="Times New Roman" w:cs="Times New Roman"/>
                <w:b/>
                <w:color w:val="auto"/>
              </w:rPr>
            </w:pPr>
            <w:r>
              <w:rPr>
                <w:rFonts w:hint="default" w:ascii="Times New Roman" w:hAnsi="Times New Roman" w:eastAsia="宋体" w:cs="Times New Roman"/>
                <w:color w:val="auto"/>
                <w:sz w:val="24"/>
                <w:lang w:val="en-US" w:eastAsia="zh-CN" w:bidi="ar"/>
              </w:rPr>
              <w:t>本项目不属于《产业结构调整指导目录（2011年本）》（2016年修订）中限制和淘汰类项目；不属于《江苏省工业和信息产业结构调整指导目录（2012年本）》（苏政办发[2013]9号）及关于修改《江苏省工业和信息产业结构调整指导目录（2012年本）》中限制和淘汰类项目。本项目不属于《限制用地项目目录（2012年本）》和《禁止用地项目目录（2012年本）》中所规定的类别，不属于《江苏省限制用地项目目录（2013年本）》和《江苏省限制用地项目目录（2013年本）》中所规定的类别的项目。本项目不属于《江苏省太湖水污染防治条例》、《太湖流域管理条例》禁止建设项目。因此，本项目不在该功能区的负面清单内。</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1</w:t>
            </w:r>
            <w:r>
              <w:rPr>
                <w:rFonts w:hint="default" w:ascii="Times New Roman" w:hAnsi="Times New Roman" w:eastAsia="宋体" w:cs="Times New Roman"/>
                <w:b/>
                <w:color w:val="auto"/>
                <w:sz w:val="24"/>
                <w:lang w:val="en-US" w:eastAsia="zh-CN" w:bidi="ar"/>
              </w:rPr>
              <w:t>3</w:t>
            </w:r>
            <w:r>
              <w:rPr>
                <w:rFonts w:hint="default" w:ascii="Times New Roman" w:hAnsi="Times New Roman" w:eastAsia="宋体" w:cs="Times New Roman"/>
                <w:b/>
                <w:color w:val="auto"/>
                <w:sz w:val="24"/>
                <w:lang w:bidi="ar"/>
              </w:rPr>
              <w:t>、建设周期</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bidi="ar"/>
              </w:rPr>
              <w:t>201</w:t>
            </w:r>
            <w:r>
              <w:rPr>
                <w:rFonts w:hint="default"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年</w:t>
            </w:r>
            <w:r>
              <w:rPr>
                <w:rFonts w:hint="eastAsia"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月--2019年</w:t>
            </w:r>
            <w:r>
              <w:rPr>
                <w:rFonts w:hint="default"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月</w:t>
            </w:r>
            <w:r>
              <w:rPr>
                <w:rFonts w:hint="default" w:ascii="Times New Roman" w:hAnsi="Times New Roman" w:eastAsia="宋体" w:cs="Times New Roman"/>
                <w:color w:val="auto"/>
                <w:sz w:val="24"/>
                <w:lang w:eastAsia="zh-CN" w:bidi="ar"/>
              </w:rPr>
              <w:t>。</w:t>
            </w:r>
          </w:p>
          <w:p>
            <w:pPr>
              <w:numPr>
                <w:ilvl w:val="0"/>
                <w:numId w:val="0"/>
              </w:numPr>
              <w:spacing w:line="360" w:lineRule="auto"/>
              <w:ind w:leftChars="200"/>
              <w:rPr>
                <w:rFonts w:hint="default" w:ascii="Times New Roman" w:hAnsi="Times New Roman" w:eastAsia="宋体" w:cs="Times New Roman"/>
                <w:b/>
                <w:bCs/>
                <w:color w:val="auto"/>
                <w:sz w:val="24"/>
                <w:lang w:val="en-US" w:eastAsia="zh-CN" w:bidi="ar"/>
              </w:rPr>
            </w:pPr>
            <w:r>
              <w:rPr>
                <w:rFonts w:hint="default" w:ascii="Times New Roman" w:hAnsi="Times New Roman" w:eastAsia="宋体" w:cs="Times New Roman"/>
                <w:b/>
                <w:bCs/>
                <w:color w:val="auto"/>
                <w:sz w:val="24"/>
                <w:lang w:val="en-US" w:eastAsia="zh-CN" w:bidi="ar"/>
              </w:rPr>
              <w:t>14、初筛结论</w:t>
            </w:r>
          </w:p>
          <w:p>
            <w:pPr>
              <w:numPr>
                <w:ilvl w:val="0"/>
                <w:numId w:val="0"/>
              </w:num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符合产业政策、符合相关规划要求，本项目无生产废水产生及排放；生活污水排放量经化粪池处理后进入市政管网，最终进武进城区污水处理厂集中处理，尾水排入采菱港；产生的废气均有组织收集，处理达标后排放；产生的噪声采取相应环保措施后可达标排放，经预测对周围居民影响较小，本项目建设具有环境可行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4" w:hRule="atLeast"/>
          <w:jc w:val="center"/>
        </w:trPr>
        <w:tc>
          <w:tcPr>
            <w:tcW w:w="8743" w:type="dxa"/>
            <w:gridSpan w:val="8"/>
            <w:tcBorders>
              <w:top w:val="single" w:color="auto" w:sz="6" w:space="0"/>
              <w:left w:val="single" w:color="auto" w:sz="12" w:space="0"/>
              <w:bottom w:val="single" w:color="auto" w:sz="12" w:space="0"/>
              <w:right w:val="single" w:color="auto" w:sz="12" w:space="0"/>
            </w:tcBorders>
            <w:shd w:val="clear" w:color="auto" w:fill="auto"/>
            <w:vAlign w:val="top"/>
          </w:tcPr>
          <w:p>
            <w:pPr>
              <w:spacing w:line="360" w:lineRule="auto"/>
              <w:jc w:val="both"/>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与本项目有关的原有污染情况及主要环境问题</w:t>
            </w: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rPr>
            </w:pPr>
            <w:r>
              <w:rPr>
                <w:rFonts w:hint="eastAsia"/>
                <w:lang w:val="en-US" w:eastAsia="zh-CN"/>
              </w:rPr>
              <w:t>本项目为新建项目</w:t>
            </w:r>
            <w:r>
              <w:rPr>
                <w:rFonts w:hint="default"/>
                <w:lang w:val="en-US" w:eastAsia="zh-CN"/>
              </w:rPr>
              <w:t>，不</w:t>
            </w:r>
            <w:r>
              <w:rPr>
                <w:rFonts w:hint="eastAsia"/>
                <w:lang w:val="en-US" w:eastAsia="zh-CN"/>
              </w:rPr>
              <w:t>涉及原有污染情况及主要</w:t>
            </w:r>
            <w:r>
              <w:rPr>
                <w:rFonts w:hint="default"/>
                <w:lang w:val="en-US" w:eastAsia="zh-CN"/>
              </w:rPr>
              <w:t>环境问题。</w:t>
            </w:r>
          </w:p>
        </w:tc>
      </w:tr>
    </w:tbl>
    <w:p>
      <w:pPr>
        <w:spacing w:line="360" w:lineRule="auto"/>
        <w:jc w:val="left"/>
        <w:outlineLvl w:val="0"/>
        <w:rPr>
          <w:rFonts w:hint="default" w:ascii="Times New Roman" w:hAnsi="Times New Roman" w:eastAsia="宋体" w:cs="Times New Roman"/>
          <w:b/>
          <w:color w:val="auto"/>
          <w:sz w:val="30"/>
          <w:szCs w:val="30"/>
          <w:lang w:bidi="ar"/>
        </w:rPr>
      </w:pPr>
      <w:r>
        <w:rPr>
          <w:rFonts w:hint="default" w:ascii="Times New Roman" w:hAnsi="Times New Roman" w:eastAsia="宋体" w:cs="Times New Roman"/>
          <w:b/>
          <w:color w:val="auto"/>
          <w:sz w:val="30"/>
          <w:szCs w:val="30"/>
          <w:lang w:bidi="ar"/>
        </w:rPr>
        <w:br w:type="page"/>
      </w:r>
    </w:p>
    <w:p>
      <w:pPr>
        <w:spacing w:line="360" w:lineRule="auto"/>
        <w:ind w:firstLine="602" w:firstLineChars="200"/>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建设项目所在地自然环境、基础设施及相关规划简况</w:t>
      </w:r>
    </w:p>
    <w:tbl>
      <w:tblPr>
        <w:tblStyle w:val="15"/>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after="156" w:afterLines="50"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自然环境简况（地形、地貌、地质、气候、气象、水文、植被、生物多样性等）</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地形：地处长江三角洲平原，地势平坦，西北稍高，东南略低，以黄海高程计，平均地形高程4.5m 左右，最高5.80m，部分地区仅2-3m。</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地貌、地质</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硬土地基，地震基本烈度为7度。</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气候：属北亚热带湿润性季风气候，温和湿润，四季分明。</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气象：项目所在地属北亚热带季风区，又处于长江和太湖、滆湖之间，水汽调节适宜，四季分明，气候湿润，雨量充沛，日照充足，无霜期长，据气象统计资料，区域多年平均气温16.6℃，极端最高气温37.8℃，极端最低气温-5.9℃，无霜期226天，多年平均雾日30天，多年平均降雨量1172.9mm，主要集中在夏秋两季，汛期雨量为573.6mm，6~9月雨量占全年雨量的52.3%，年降水量年度间变幅较大，全年雨量分配也极度不平衡，多年平均降雨天数120天，年最大降水量1888.3mm（1991年），年最小降水量515.4mm（1924年），多年平均水面蒸发量（小河站）为916mm，年平均最大风速8.6m/s，历年最大风速达24m/s，多年平均风速2.6m/s。</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水文：常州地区的河流属长江水系太湖平原水网区，北有长江，南有太湖和滆湖，京杭大运河由西向东斜贯中央，形成一个北引江水，汇流运河，南注两湖的自然水系。经济开发区内河网密布，纵横交错。现有大小河道约四十余条，河道总面积约为4平方公里。流经经济开发区的主要河流有京杭运河、采菱港、武南河、湖塘河、长沟河、大通河、大庆河、龚巷河等。</w:t>
            </w:r>
          </w:p>
          <w:p>
            <w:pPr>
              <w:spacing w:line="360" w:lineRule="auto"/>
              <w:ind w:firstLine="480" w:firstLineChars="200"/>
              <w:rPr>
                <w:rFonts w:hint="default" w:ascii="Times New Roman" w:hAnsi="Times New Roman" w:eastAsia="宋体" w:cs="Times New Roman"/>
                <w:color w:val="auto"/>
                <w:sz w:val="24"/>
              </w:rPr>
            </w:pPr>
            <w:r>
              <w:rPr>
                <w:rFonts w:ascii="Times New Roman" w:hAnsi="Times New Roman" w:eastAsia="宋体" w:cs="Times New Roman"/>
                <w:color w:val="auto"/>
                <w:sz w:val="24"/>
              </w:rPr>
              <w:t>本项目尾水排入</w:t>
            </w:r>
            <w:r>
              <w:rPr>
                <w:rFonts w:hint="eastAsia" w:ascii="Times New Roman" w:hAnsi="Times New Roman" w:eastAsia="宋体" w:cs="Times New Roman"/>
                <w:color w:val="auto"/>
                <w:sz w:val="24"/>
                <w:lang w:val="en-US" w:eastAsia="zh-CN"/>
              </w:rPr>
              <w:t>采菱港</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采菱港：北起京杭运河，东至武进港全长15km，为武进区主要支河之一，同时也是本项目废污水最终纳污河道，常年流向自北向南。采菱港平均河宽25m，丰水期河深3m，枯水期河深1.8m，河流为单向自北向南流，无河闸，根据《江苏省水环境功能区划》，水环境功能为工业用水区，水质目标Ⅳ类。</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企业周边水系及水质监测断面见附图</w:t>
            </w:r>
            <w:r>
              <w:rPr>
                <w:rFonts w:hint="default" w:ascii="Times New Roman" w:hAnsi="Times New Roman" w:eastAsia="宋体" w:cs="Times New Roman"/>
                <w:b/>
                <w:color w:val="auto"/>
                <w:sz w:val="24"/>
                <w:lang w:val="en-US" w:eastAsia="zh-CN" w:bidi="ar"/>
              </w:rPr>
              <w:t>6</w:t>
            </w:r>
            <w:r>
              <w:rPr>
                <w:rFonts w:hint="default" w:ascii="Times New Roman" w:hAnsi="Times New Roman" w:eastAsia="宋体" w:cs="Times New Roman"/>
                <w:b/>
                <w:color w:val="auto"/>
                <w:sz w:val="24"/>
                <w:lang w:bidi="ar"/>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植被与生物多样性：项目所在地无需特殊保护的植物和古树名木，当地主要水生、陆生动植物品种丰富，生物多样性良好。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5" w:hRule="atLeast"/>
        </w:trPr>
        <w:tc>
          <w:tcPr>
            <w:tcW w:w="8296" w:type="dxa"/>
            <w:tcBorders>
              <w:top w:val="single" w:color="auto" w:sz="6" w:space="0"/>
              <w:left w:val="single" w:color="auto" w:sz="12" w:space="0"/>
              <w:bottom w:val="single" w:color="auto" w:sz="12" w:space="0"/>
              <w:right w:val="single" w:color="auto" w:sz="12" w:space="0"/>
            </w:tcBorders>
            <w:shd w:val="clear" w:color="auto" w:fill="auto"/>
          </w:tcPr>
          <w:p>
            <w:pPr>
              <w:spacing w:line="360" w:lineRule="auto"/>
              <w:ind w:firstLine="482" w:firstLineChars="200"/>
              <w:rPr>
                <w:rFonts w:hint="default" w:ascii="Times New Roman" w:hAnsi="Times New Roman" w:eastAsia="宋体" w:cs="Times New Roman"/>
                <w:b/>
                <w:color w:val="auto"/>
                <w:sz w:val="24"/>
                <w:lang w:bidi="ar"/>
              </w:rPr>
            </w:pPr>
            <w:r>
              <w:rPr>
                <w:rFonts w:hint="default" w:ascii="Times New Roman" w:hAnsi="Times New Roman" w:eastAsia="宋体" w:cs="Times New Roman"/>
                <w:b/>
                <w:color w:val="auto"/>
                <w:sz w:val="24"/>
                <w:lang w:bidi="ar"/>
              </w:rPr>
              <w:t>社会环境简况（社会经济结构、教育、文化、文物保护等）：</w:t>
            </w:r>
          </w:p>
          <w:p>
            <w:pPr>
              <w:spacing w:line="360" w:lineRule="auto"/>
              <w:ind w:firstLine="480" w:firstLineChars="200"/>
              <w:rPr>
                <w:rFonts w:hint="default" w:ascii="Times New Roman" w:hAnsi="Times New Roman" w:eastAsia="宋体" w:cs="Times New Roman"/>
                <w:b w:val="0"/>
                <w:bCs/>
                <w:color w:val="auto"/>
                <w:sz w:val="24"/>
                <w:lang w:eastAsia="zh-CN" w:bidi="ar"/>
              </w:rPr>
            </w:pPr>
            <w:r>
              <w:rPr>
                <w:rFonts w:hint="eastAsia" w:ascii="Times New Roman" w:hAnsi="Times New Roman" w:eastAsia="宋体" w:cs="Times New Roman"/>
                <w:b w:val="0"/>
                <w:bCs/>
                <w:color w:val="auto"/>
                <w:sz w:val="24"/>
                <w:lang w:val="en-US" w:eastAsia="zh-CN" w:bidi="ar"/>
              </w:rPr>
              <w:t>本项目租赁常州市滨湖生态城建设有限公司常州西太湖科技产业园兰香路8号5号标准厂房5楼厂房</w:t>
            </w:r>
            <w:r>
              <w:rPr>
                <w:rFonts w:hint="default" w:ascii="Times New Roman" w:hAnsi="Times New Roman" w:eastAsia="宋体" w:cs="Times New Roman"/>
                <w:b w:val="0"/>
                <w:bCs/>
                <w:color w:val="auto"/>
                <w:sz w:val="24"/>
                <w:lang w:bidi="ar"/>
              </w:rPr>
              <w:t>。厂区四周均为园区内工业企业。最近敏感点为武进经济开发区职工宿舍，位于项目</w:t>
            </w:r>
            <w:r>
              <w:rPr>
                <w:rFonts w:hint="eastAsia" w:ascii="Times New Roman" w:hAnsi="Times New Roman" w:eastAsia="宋体" w:cs="Times New Roman"/>
                <w:b w:val="0"/>
                <w:bCs/>
                <w:color w:val="auto"/>
                <w:sz w:val="24"/>
                <w:lang w:val="en-US" w:eastAsia="zh-CN" w:bidi="ar"/>
              </w:rPr>
              <w:t>西</w:t>
            </w:r>
            <w:r>
              <w:rPr>
                <w:rFonts w:hint="default" w:ascii="Times New Roman" w:hAnsi="Times New Roman" w:eastAsia="宋体" w:cs="Times New Roman"/>
                <w:b w:val="0"/>
                <w:bCs/>
                <w:color w:val="auto"/>
                <w:sz w:val="24"/>
                <w:lang w:bidi="ar"/>
              </w:rPr>
              <w:t>侧 2</w:t>
            </w:r>
            <w:r>
              <w:rPr>
                <w:rFonts w:hint="eastAsia" w:ascii="Times New Roman" w:hAnsi="Times New Roman" w:eastAsia="宋体" w:cs="Times New Roman"/>
                <w:b w:val="0"/>
                <w:bCs/>
                <w:color w:val="auto"/>
                <w:sz w:val="24"/>
                <w:lang w:val="en-US" w:eastAsia="zh-CN" w:bidi="ar"/>
              </w:rPr>
              <w:t>00</w:t>
            </w:r>
            <w:r>
              <w:rPr>
                <w:rFonts w:hint="default" w:ascii="Times New Roman" w:hAnsi="Times New Roman" w:eastAsia="宋体" w:cs="Times New Roman"/>
                <w:b w:val="0"/>
                <w:bCs/>
                <w:color w:val="auto"/>
                <w:sz w:val="24"/>
                <w:lang w:bidi="ar"/>
              </w:rPr>
              <w:t>米处</w:t>
            </w:r>
            <w:r>
              <w:rPr>
                <w:rFonts w:hint="default" w:ascii="Times New Roman" w:hAnsi="Times New Roman" w:eastAsia="宋体" w:cs="Times New Roman"/>
                <w:b w:val="0"/>
                <w:bCs/>
                <w:color w:val="auto"/>
                <w:sz w:val="24"/>
                <w:lang w:eastAsia="zh-CN" w:bidi="ar"/>
              </w:rPr>
              <w:t>。</w:t>
            </w:r>
          </w:p>
          <w:p>
            <w:pPr>
              <w:spacing w:line="360" w:lineRule="auto"/>
              <w:ind w:firstLine="482" w:firstLineChars="200"/>
              <w:rPr>
                <w:rFonts w:hint="default" w:ascii="Times New Roman" w:hAnsi="Times New Roman" w:eastAsia="宋体" w:cs="Times New Roman"/>
                <w:b/>
                <w:bCs w:val="0"/>
                <w:color w:val="auto"/>
                <w:sz w:val="24"/>
                <w:lang w:bidi="ar"/>
              </w:rPr>
            </w:pPr>
            <w:r>
              <w:rPr>
                <w:rFonts w:hint="default" w:ascii="Times New Roman" w:hAnsi="Times New Roman" w:eastAsia="宋体" w:cs="Times New Roman"/>
                <w:b/>
                <w:bCs w:val="0"/>
                <w:color w:val="auto"/>
                <w:sz w:val="24"/>
                <w:lang w:bidi="ar"/>
              </w:rPr>
              <w:t>1、江苏武进经济开发区规划概况</w:t>
            </w:r>
          </w:p>
          <w:p>
            <w:pPr>
              <w:spacing w:line="360" w:lineRule="auto"/>
              <w:ind w:firstLine="480" w:firstLineChars="200"/>
              <w:rPr>
                <w:rFonts w:hint="default" w:ascii="Times New Roman" w:hAnsi="Times New Roman" w:eastAsia="宋体" w:cs="Times New Roman"/>
                <w:b w:val="0"/>
                <w:bCs/>
                <w:color w:val="auto"/>
                <w:sz w:val="24"/>
                <w:lang w:bidi="ar"/>
              </w:rPr>
            </w:pPr>
            <w:r>
              <w:rPr>
                <w:rFonts w:hint="default" w:ascii="Times New Roman" w:hAnsi="Times New Roman" w:eastAsia="宋体" w:cs="Times New Roman"/>
                <w:b w:val="0"/>
                <w:bCs/>
                <w:color w:val="auto"/>
                <w:sz w:val="24"/>
                <w:lang w:bidi="ar"/>
              </w:rPr>
              <w:t>江苏武进经济开发区的前身为1997年经省政府批准成立的江苏省武进外向型农业综合开发区（苏政复[1997]96号文），2006年7月6日，中华人民共和国国家发展和改革委员会审核通过了江苏省武进外向型农业综合开发区改建为江苏武进经济开发区（苏发改外经办[2006]791号文，国发[2006]41号文）。</w:t>
            </w:r>
          </w:p>
          <w:p>
            <w:pPr>
              <w:spacing w:line="360" w:lineRule="auto"/>
              <w:ind w:firstLine="480" w:firstLineChars="200"/>
              <w:rPr>
                <w:rFonts w:hint="default" w:ascii="Times New Roman" w:hAnsi="Times New Roman" w:eastAsia="宋体" w:cs="Times New Roman"/>
                <w:b w:val="0"/>
                <w:bCs/>
                <w:color w:val="auto"/>
                <w:sz w:val="24"/>
                <w:lang w:bidi="ar"/>
              </w:rPr>
            </w:pPr>
            <w:r>
              <w:rPr>
                <w:rFonts w:hint="default" w:ascii="Times New Roman" w:hAnsi="Times New Roman" w:eastAsia="宋体" w:cs="Times New Roman"/>
                <w:b w:val="0"/>
                <w:bCs/>
                <w:color w:val="auto"/>
                <w:sz w:val="24"/>
                <w:lang w:bidi="ar"/>
              </w:rPr>
              <w:t>2007年6月，南京大学环境科学研究所编制了《江苏武进经济开发区环境影响报告书》，并于同年12月获得了省环保厅的批复（苏环管[2007]274号），四至范围为西至新孟津河，南至滆湖大堤，东和北至场北河，总面积为20.14 km</w:t>
            </w:r>
            <w:r>
              <w:rPr>
                <w:rFonts w:hint="default" w:ascii="Times New Roman" w:hAnsi="Times New Roman" w:eastAsia="宋体" w:cs="Times New Roman"/>
                <w:b w:val="0"/>
                <w:bCs/>
                <w:color w:val="auto"/>
                <w:sz w:val="24"/>
                <w:vertAlign w:val="superscript"/>
                <w:lang w:bidi="ar"/>
              </w:rPr>
              <w:t>2</w:t>
            </w:r>
            <w:r>
              <w:rPr>
                <w:rFonts w:hint="default" w:ascii="Times New Roman" w:hAnsi="Times New Roman" w:eastAsia="宋体" w:cs="Times New Roman"/>
                <w:b w:val="0"/>
                <w:bCs/>
                <w:color w:val="auto"/>
                <w:sz w:val="24"/>
                <w:lang w:bidi="ar"/>
              </w:rPr>
              <w:t>。2007年10月，江苏省环境科学研究院编制了《江苏武进经济开发区二期区域环境影响报告书》，即在武进经济开发区一期20.14 km</w:t>
            </w:r>
            <w:r>
              <w:rPr>
                <w:rFonts w:hint="default" w:ascii="Times New Roman" w:hAnsi="Times New Roman" w:eastAsia="宋体" w:cs="Times New Roman"/>
                <w:b w:val="0"/>
                <w:bCs/>
                <w:color w:val="auto"/>
                <w:sz w:val="24"/>
                <w:vertAlign w:val="superscript"/>
                <w:lang w:bidi="ar"/>
              </w:rPr>
              <w:t>2</w:t>
            </w:r>
            <w:r>
              <w:rPr>
                <w:rFonts w:hint="default" w:ascii="Times New Roman" w:hAnsi="Times New Roman" w:eastAsia="宋体" w:cs="Times New Roman"/>
                <w:b w:val="0"/>
                <w:bCs/>
                <w:color w:val="auto"/>
                <w:sz w:val="24"/>
                <w:lang w:bidi="ar"/>
              </w:rPr>
              <w:t>的基础上拓展的区域，位于武进经济开发区一期的北部，四至范围为北至长汀路、西至扁担河、南至孟津河、东至西绕城高速，总面积12.585 km</w:t>
            </w:r>
            <w:r>
              <w:rPr>
                <w:rFonts w:hint="default" w:ascii="Times New Roman" w:hAnsi="Times New Roman" w:eastAsia="宋体" w:cs="Times New Roman"/>
                <w:b w:val="0"/>
                <w:bCs/>
                <w:color w:val="auto"/>
                <w:sz w:val="24"/>
                <w:vertAlign w:val="superscript"/>
                <w:lang w:bidi="ar"/>
              </w:rPr>
              <w:t>2</w:t>
            </w:r>
            <w:r>
              <w:rPr>
                <w:rFonts w:hint="default" w:ascii="Times New Roman" w:hAnsi="Times New Roman" w:eastAsia="宋体" w:cs="Times New Roman"/>
                <w:b w:val="0"/>
                <w:bCs/>
                <w:color w:val="auto"/>
                <w:sz w:val="24"/>
                <w:lang w:bidi="ar"/>
              </w:rPr>
              <w:t>的区域，并于2008年1月获得了省环保厅的批复（苏环管[2008]4号），批复范围为12.585 km</w:t>
            </w:r>
            <w:r>
              <w:rPr>
                <w:rFonts w:hint="default" w:ascii="Times New Roman" w:hAnsi="Times New Roman" w:eastAsia="宋体" w:cs="Times New Roman"/>
                <w:b w:val="0"/>
                <w:bCs/>
                <w:color w:val="auto"/>
                <w:sz w:val="24"/>
                <w:vertAlign w:val="superscript"/>
                <w:lang w:bidi="ar"/>
              </w:rPr>
              <w:t>2</w:t>
            </w:r>
            <w:r>
              <w:rPr>
                <w:rFonts w:hint="default" w:ascii="Times New Roman" w:hAnsi="Times New Roman" w:eastAsia="宋体" w:cs="Times New Roman"/>
                <w:b w:val="0"/>
                <w:bCs/>
                <w:color w:val="auto"/>
                <w:sz w:val="24"/>
                <w:lang w:bidi="ar"/>
              </w:rPr>
              <w:t>。</w:t>
            </w:r>
          </w:p>
          <w:p>
            <w:pPr>
              <w:spacing w:line="360" w:lineRule="auto"/>
              <w:ind w:firstLine="480" w:firstLineChars="200"/>
              <w:rPr>
                <w:rFonts w:hint="default" w:ascii="Times New Roman" w:hAnsi="Times New Roman" w:eastAsia="宋体" w:cs="Times New Roman"/>
                <w:b w:val="0"/>
                <w:bCs/>
                <w:color w:val="auto"/>
                <w:sz w:val="24"/>
                <w:lang w:bidi="ar"/>
              </w:rPr>
            </w:pPr>
            <w:r>
              <w:rPr>
                <w:rFonts w:hint="default" w:ascii="Times New Roman" w:hAnsi="Times New Roman" w:eastAsia="宋体" w:cs="Times New Roman"/>
                <w:b w:val="0"/>
                <w:bCs/>
                <w:color w:val="auto"/>
                <w:sz w:val="24"/>
                <w:lang w:bidi="ar"/>
              </w:rPr>
              <w:t>根据《中华人民共和国环境影响评价法》中有关环境影响后评价的内容及省环保厅《关于开展产业园区规划环评及跟踪评价的通知》（苏环办[2011]374号）要求，为加强对武进经济开发区的环境管理，查找并有效解决开发区环境管理中存在的环境问题，江苏武进经济开发区管委会于2012年委托江苏省环境科学研究院对江苏武进经济开发区进行跟踪环境影响评价工作，并于2014年12月1日取得江苏省环保厅的审核意见（苏环审[2014]137号）。</w:t>
            </w:r>
          </w:p>
          <w:p>
            <w:pPr>
              <w:spacing w:line="360" w:lineRule="auto"/>
              <w:ind w:firstLine="482" w:firstLineChars="200"/>
              <w:rPr>
                <w:rFonts w:hint="default"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2</w:t>
            </w:r>
            <w:r>
              <w:rPr>
                <w:rFonts w:hint="default" w:ascii="Times New Roman" w:hAnsi="Times New Roman" w:eastAsia="宋体" w:cs="Times New Roman"/>
                <w:b/>
                <w:color w:val="auto"/>
                <w:sz w:val="24"/>
                <w:lang w:val="en-US" w:eastAsia="zh-CN" w:bidi="ar"/>
              </w:rPr>
              <w:t>、</w:t>
            </w:r>
            <w:r>
              <w:rPr>
                <w:rFonts w:hint="default" w:ascii="Times New Roman" w:hAnsi="Times New Roman" w:eastAsia="宋体" w:cs="Times New Roman"/>
                <w:b/>
                <w:color w:val="auto"/>
                <w:sz w:val="24"/>
                <w:lang w:bidi="ar"/>
              </w:rPr>
              <w:t>基础设施及相关规划</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（1）道路</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目前，经发区已形成四横三纵主干道，东西向主干道有纬一路、禾香路、延政西路、长虹路；南北向主干道有工业大道、东方路、腾龙路。东西向次干道有场北路、长顺路、鸿运路和稻香路；南北向次干道有礼新路、经四路、兴湖路和绿杨路。孟津河南侧片区业已初步形成道路网格，基本满足交通需求；北片区暂未形成完善的路网，除了新建的腾龙路、纬一路、工业大道、长顺路和长虹路能够满足经发区发展的要求，其余的道路较窄，且线型不规整，如长汀路、河虹路、礼新路和东方南路。整个经发区还将大力推进道路建设，进一步完善道路系统。自来水、雨污水、通讯、绿化等配套设施建设同步进行。</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（2）供电</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供电方面具有采用双电源、双回路的条件，建有110KVA农场变和15个小区变，已经实现“七通一平”。此外，还完成了孟津河220千伏改线工程、500千伏接地及线路、标准化厂房开闭所和环网柜建设等工作。</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（3）给水</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武进区中心城区现有自来水厂一座，为江河港武水务（常州）有限公司，位于武宜路西、长虹路南，供水规模为22.0万m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/d。水厂原水取自长江水，引水工程规模30.0万m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武进区的湖滨工业水厂已经投入使用，位于沿江高速以南、湖滨路西侧，供水规模30万m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/d，原水取自滆湖。滆湖规划为武进地区的备用水源地。</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目前区内供水由江河港武水务（常州）有限公司供给，经济开发区市政DN800 主干管沿经济开发区延政路和创业北路（现西太湖大道）敷设。经济开发区给水管网为环状，敷设在道路东侧和南侧，管径为DN300—DN200。</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（2）排水</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江苏武进经济开发区排水体制为雨污分流制。</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雨水：根据地形和道路坡向，划分汇水区域，沿道路布置雨水管道，分片收集，就近排入水体。</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污水：经济开发区一期（原农发区）内各企业废水达接管标准后接入污水管网，生活污水直接排入污水管网，最终排入武进城区污水处理厂集中处理，达标后排入采菱港，二期最终排入牛塘污水处理厂集中处理，尾水排入新京杭运河。</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本项目所在地雨污管网已铺设完毕，项目废（污）水可直接接管至武进城区污水处理厂集中处理。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（3）垃圾处理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西太湖科技产业园内固体废物实行分类处理。生活垃圾由保洁公司和企业进行收集送至垃圾中转站。目前园区内已建成生活垃圾中转站1座，配备环卫专用车辆设备4辆。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一般工业废弃物根据其性质特点进行综合利用，目前的综合利用率为93.2%，不能综合利用的一般固废与生活垃圾一起送至常州绿色动力环保热电有限公司焚烧，无害化、资源化率达100%。区内的危险固废均由有资质的单位进行收集处置，并通过危废转移单进行监控管理，构建了较完备的危险废物集中处理处置体系。</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（4）能源供应</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目前，西太湖科技产业园内所有使用燃煤锅炉的工业企业均已完成清洁能源改造，区内企业全部以天然气、电、低硫燃料油（含硫率不得高于0.3％）等清洁能源为燃料，不使用煤或高硫燃料油。按照统一规划，天然气由常州新奥燃气有限公司提供。目前，西太湖科技产业园天然气管网已形成框架，燃气管道布设在主要道路上，区内现有燃气调压站位于凤苑南路与延政西路的交汇处。</w:t>
            </w:r>
          </w:p>
          <w:p>
            <w:pPr>
              <w:spacing w:line="360" w:lineRule="auto"/>
              <w:ind w:firstLine="482" w:firstLineChars="200"/>
              <w:rPr>
                <w:rFonts w:hint="default"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3</w:t>
            </w:r>
            <w:r>
              <w:rPr>
                <w:rFonts w:hint="default" w:ascii="Times New Roman" w:hAnsi="Times New Roman" w:eastAsia="宋体" w:cs="Times New Roman"/>
                <w:b/>
                <w:color w:val="auto"/>
                <w:sz w:val="24"/>
                <w:lang w:bidi="ar"/>
              </w:rPr>
              <w:t>、当地环境功能区规划</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根据《常州市环境空气质量功能区划分》（2017），项目所在地执行《环境空气质量标准》（GB3095-2012）二级标准。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根据《常州市地表水（环境）功能区划》，</w:t>
            </w:r>
            <w:r>
              <w:rPr>
                <w:rFonts w:hint="eastAsia" w:ascii="Times New Roman" w:hAnsi="Times New Roman" w:eastAsia="宋体" w:cs="Times New Roman"/>
                <w:color w:val="auto"/>
                <w:sz w:val="24"/>
                <w:lang w:val="en-US" w:eastAsia="zh-CN" w:bidi="ar"/>
              </w:rPr>
              <w:t>采菱港</w:t>
            </w:r>
            <w:r>
              <w:rPr>
                <w:rFonts w:hint="default" w:ascii="Times New Roman" w:hAnsi="Times New Roman" w:eastAsia="宋体" w:cs="Times New Roman"/>
                <w:color w:val="auto"/>
                <w:sz w:val="24"/>
                <w:lang w:bidi="ar"/>
              </w:rPr>
              <w:t>水质执行《地表水环境质量标准》（GB3838-2002）中Ⅳ类水质标准。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根据《常州市市区声环境功能区划（2017）》，声功能区分类，项目所在地为</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类噪声功能区，执行《声环境噪声标准》（GB3096-2008）规定的</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类标准。</w:t>
            </w:r>
          </w:p>
          <w:p>
            <w:pPr>
              <w:spacing w:line="360" w:lineRule="auto"/>
              <w:ind w:firstLine="482" w:firstLineChars="200"/>
              <w:rPr>
                <w:rFonts w:hint="default"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4</w:t>
            </w:r>
            <w:r>
              <w:rPr>
                <w:rFonts w:hint="default" w:ascii="Times New Roman" w:hAnsi="Times New Roman" w:eastAsia="宋体" w:cs="Times New Roman"/>
                <w:b/>
                <w:color w:val="auto"/>
                <w:sz w:val="24"/>
                <w:lang w:bidi="ar"/>
              </w:rPr>
              <w:t>、生态功能保护区区域规划</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对照《江苏省生态红线区域保护规划》和《江苏省国家级生态保护红线规划》，项目所在地附近生态红线区域名称、生态功能、红线区域范围情况见下表。</w:t>
            </w:r>
          </w:p>
          <w:p>
            <w:pPr>
              <w:pStyle w:val="26"/>
              <w:widowControl/>
              <w:rPr>
                <w:rFonts w:hint="default" w:ascii="Times New Roman" w:hAnsi="Times New Roman" w:cs="Times New Roman"/>
                <w:color w:val="auto"/>
              </w:rPr>
            </w:pPr>
            <w:r>
              <w:rPr>
                <w:rFonts w:hint="default" w:ascii="Times New Roman" w:hAnsi="Times New Roman" w:cs="Times New Roman"/>
                <w:color w:val="auto"/>
              </w:rPr>
              <w:t>表2-1  常州市生态红线区域名录</w:t>
            </w:r>
          </w:p>
          <w:tbl>
            <w:tblPr>
              <w:tblStyle w:val="14"/>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20"/>
              <w:gridCol w:w="1215"/>
              <w:gridCol w:w="1140"/>
              <w:gridCol w:w="2445"/>
              <w:gridCol w:w="82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地区</w:t>
                  </w:r>
                </w:p>
              </w:tc>
              <w:tc>
                <w:tcPr>
                  <w:tcW w:w="1020"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红线区域名称</w:t>
                  </w:r>
                </w:p>
              </w:tc>
              <w:tc>
                <w:tcPr>
                  <w:tcW w:w="121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主导生态功能</w:t>
                  </w:r>
                </w:p>
              </w:tc>
              <w:tc>
                <w:tcPr>
                  <w:tcW w:w="358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红线区域范围</w:t>
                  </w:r>
                </w:p>
              </w:tc>
              <w:tc>
                <w:tcPr>
                  <w:tcW w:w="82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方位</w:t>
                  </w:r>
                </w:p>
              </w:tc>
              <w:tc>
                <w:tcPr>
                  <w:tcW w:w="858"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21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一级管控区</w:t>
                  </w:r>
                </w:p>
              </w:tc>
              <w:tc>
                <w:tcPr>
                  <w:tcW w:w="24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二级管控区</w:t>
                  </w:r>
                </w:p>
              </w:tc>
              <w:tc>
                <w:tcPr>
                  <w:tcW w:w="82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85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武进</w:t>
                  </w:r>
                  <w:r>
                    <w:rPr>
                      <w:rFonts w:hint="default" w:ascii="Times New Roman" w:hAnsi="Times New Roman" w:cs="Times New Roman"/>
                      <w:color w:val="auto"/>
                    </w:rPr>
                    <w:t>区</w:t>
                  </w:r>
                </w:p>
              </w:tc>
              <w:tc>
                <w:tcPr>
                  <w:tcW w:w="102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宋体" w:cs="Times New Roman"/>
                      <w:color w:val="auto"/>
                      <w:szCs w:val="21"/>
                    </w:rPr>
                  </w:pPr>
                  <w:r>
                    <w:rPr>
                      <w:szCs w:val="21"/>
                    </w:rPr>
                    <w:t>滆湖（武进区）重要湿地</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宋体" w:cs="Times New Roman"/>
                      <w:color w:val="auto"/>
                      <w:szCs w:val="21"/>
                    </w:rPr>
                  </w:pPr>
                  <w:r>
                    <w:rPr>
                      <w:szCs w:val="21"/>
                    </w:rPr>
                    <w:t>湿地生态系统保护</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宋体" w:cs="Times New Roman"/>
                      <w:color w:val="auto"/>
                      <w:szCs w:val="21"/>
                    </w:rPr>
                  </w:pPr>
                  <w:r>
                    <w:rPr>
                      <w:szCs w:val="21"/>
                    </w:rPr>
                    <w:t>一级管控区为一级保护区，范围为：以取水口为中心，半径500米范围内的水域和陆域范围</w:t>
                  </w:r>
                </w:p>
              </w:tc>
              <w:tc>
                <w:tcPr>
                  <w:tcW w:w="244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宋体" w:cs="Times New Roman"/>
                      <w:color w:val="auto"/>
                      <w:szCs w:val="21"/>
                    </w:rPr>
                  </w:pPr>
                  <w:r>
                    <w:rPr>
                      <w:szCs w:val="21"/>
                    </w:rPr>
                    <w:t>北到滆湖位于常州市西南，北到环湖大堤，东到环湖公路和20世纪70年代以前建设的圩堤，西到湟里河以北以孟津河西岸堤为界，湟里河</w:t>
                  </w:r>
                  <w:r>
                    <w:rPr>
                      <w:szCs w:val="21"/>
                    </w:rPr>
                    <w:cr/>
                  </w:r>
                  <w:r>
                    <w:rPr>
                      <w:szCs w:val="21"/>
                    </w:rPr>
                    <w:t>南与湖岸线平行，湖岸线向外约</w:t>
                  </w:r>
                  <w:r>
                    <w:rPr>
                      <w:szCs w:val="21"/>
                    </w:rPr>
                    <w:cr/>
                  </w:r>
                  <w:r>
                    <w:rPr>
                      <w:szCs w:val="21"/>
                    </w:rPr>
                    <w:t>00米为界，南到宜兴交界处</w:t>
                  </w:r>
                </w:p>
              </w:tc>
              <w:tc>
                <w:tcPr>
                  <w:tcW w:w="8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S</w:t>
                  </w:r>
                </w:p>
              </w:tc>
              <w:tc>
                <w:tcPr>
                  <w:tcW w:w="85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eastAsia="宋体" w:cs="Times New Roman"/>
                      <w:color w:val="auto"/>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02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宋体" w:cs="Times New Roman"/>
                      <w:color w:val="auto"/>
                      <w:szCs w:val="21"/>
                    </w:rPr>
                  </w:pPr>
                  <w:r>
                    <w:rPr>
                      <w:szCs w:val="21"/>
                    </w:rPr>
                    <w:t>滆湖饮用水水源保护区</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宋体" w:cs="Times New Roman"/>
                      <w:color w:val="auto"/>
                      <w:szCs w:val="21"/>
                    </w:rPr>
                  </w:pPr>
                  <w:r>
                    <w:rPr>
                      <w:szCs w:val="21"/>
                    </w:rPr>
                    <w:t>水源水质保护</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宋体" w:cs="Times New Roman"/>
                      <w:color w:val="auto"/>
                      <w:szCs w:val="21"/>
                    </w:rPr>
                  </w:pPr>
                  <w:r>
                    <w:rPr>
                      <w:szCs w:val="21"/>
                    </w:rPr>
                    <w:t>一级管控区为一级保护区，范围为：以取水口为中心，半径500米范围内的水域</w:t>
                  </w:r>
                </w:p>
              </w:tc>
              <w:tc>
                <w:tcPr>
                  <w:tcW w:w="244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hint="default" w:ascii="Times New Roman" w:hAnsi="Times New Roman" w:eastAsia="宋体" w:cs="Times New Roman"/>
                      <w:color w:val="auto"/>
                      <w:szCs w:val="21"/>
                    </w:rPr>
                  </w:pPr>
                  <w:r>
                    <w:rPr>
                      <w:szCs w:val="21"/>
                    </w:rPr>
                    <w:t>二级管控区为二级保护区和准保护区，范围为：一级保护区外外延1000米范围的水域和陆域和二级保护区外外延1000米范围的水域和陆域</w:t>
                  </w:r>
                </w:p>
              </w:tc>
              <w:tc>
                <w:tcPr>
                  <w:tcW w:w="8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S</w:t>
                  </w:r>
                </w:p>
              </w:tc>
              <w:tc>
                <w:tcPr>
                  <w:tcW w:w="85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5000</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本项目最近距《江苏省生态红线区域保护规划》中常州市生态红线区域保护区——滆湖（武进区）重要湿地二级管控区内约</w:t>
            </w:r>
            <w:r>
              <w:rPr>
                <w:rFonts w:hint="default" w:ascii="Times New Roman" w:hAnsi="Times New Roman" w:eastAsia="宋体" w:cs="Times New Roman"/>
                <w:color w:val="auto"/>
                <w:sz w:val="24"/>
                <w:lang w:val="en-US" w:eastAsia="zh-CN" w:bidi="ar"/>
              </w:rPr>
              <w:t>4</w:t>
            </w:r>
            <w:r>
              <w:rPr>
                <w:rFonts w:hint="eastAsia" w:ascii="Times New Roman" w:hAnsi="Times New Roman" w:eastAsia="宋体" w:cs="Times New Roman"/>
                <w:color w:val="auto"/>
                <w:sz w:val="24"/>
                <w:lang w:val="en-US" w:eastAsia="zh-CN" w:bidi="ar"/>
              </w:rPr>
              <w:t>000</w:t>
            </w:r>
            <w:r>
              <w:rPr>
                <w:rFonts w:hint="default" w:ascii="Times New Roman" w:hAnsi="Times New Roman" w:eastAsia="宋体" w:cs="Times New Roman"/>
                <w:color w:val="auto"/>
                <w:sz w:val="24"/>
                <w:lang w:bidi="ar"/>
              </w:rPr>
              <w:t>m，项目不在滆湖（武进区）重要湿地二级管控区内，且不属于湿地生态系统保护二级管控区禁止活动内容。</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常州市生态红线区域分布图见附图</w:t>
            </w:r>
            <w:r>
              <w:rPr>
                <w:rFonts w:hint="default" w:ascii="Times New Roman" w:hAnsi="Times New Roman" w:eastAsia="宋体" w:cs="Times New Roman"/>
                <w:b/>
                <w:color w:val="auto"/>
                <w:sz w:val="24"/>
                <w:lang w:val="en-US" w:eastAsia="zh-CN" w:bidi="ar"/>
              </w:rPr>
              <w:t>5</w:t>
            </w:r>
            <w:r>
              <w:rPr>
                <w:rFonts w:hint="default" w:ascii="Times New Roman" w:hAnsi="Times New Roman" w:eastAsia="宋体" w:cs="Times New Roman"/>
                <w:b/>
                <w:color w:val="auto"/>
                <w:sz w:val="24"/>
                <w:lang w:bidi="ar"/>
              </w:rPr>
              <w:t>。</w:t>
            </w:r>
          </w:p>
          <w:p>
            <w:pPr>
              <w:spacing w:line="360" w:lineRule="auto"/>
              <w:ind w:firstLine="482" w:firstLineChars="200"/>
              <w:rPr>
                <w:rFonts w:hint="default" w:ascii="Times New Roman" w:hAnsi="Times New Roman" w:eastAsia="宋体" w:cs="Times New Roman"/>
                <w:b/>
                <w:color w:val="auto"/>
                <w:sz w:val="24"/>
              </w:rPr>
            </w:pPr>
          </w:p>
        </w:tc>
      </w:tr>
    </w:tbl>
    <w:p>
      <w:pPr>
        <w:rPr>
          <w:rFonts w:hint="default" w:ascii="Times New Roman" w:hAnsi="Times New Roman" w:eastAsia="宋体" w:cs="Times New Roman"/>
          <w:b/>
          <w:color w:val="auto"/>
          <w:sz w:val="30"/>
          <w:szCs w:val="30"/>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60" w:lineRule="auto"/>
        <w:ind w:firstLine="602" w:firstLineChars="200"/>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环境质量状况</w:t>
      </w:r>
    </w:p>
    <w:tbl>
      <w:tblPr>
        <w:tblStyle w:val="15"/>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after="156" w:afterLines="50"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建设项目所在地区域环境质量现状及主要环境问题（环境空气、地面水、地下水、声环境、辐射环境、生态环境等）</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1、环境空气质量现状</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（1）区域达标判定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根据《环境影响评价技术导则 大气环境》（HJ2.2-2018），项目所在区域达标情况判定优先采用国家或地方生态环境主管部门公开发布的环境质量报告或环境质量报告书中的数据或结论。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本次评价选取2017年作为评价基准年，根据《常州市2017年环境质量公报》，项目所在区域常州市各评价因子数据见下表。</w:t>
            </w:r>
          </w:p>
          <w:p>
            <w:pPr>
              <w:spacing w:line="360" w:lineRule="auto"/>
              <w:ind w:firstLine="482" w:firstLineChars="200"/>
              <w:jc w:val="center"/>
              <w:rPr>
                <w:rFonts w:hint="default" w:ascii="Times New Roman" w:hAnsi="Times New Roman" w:eastAsia="宋体" w:cs="Times New Roman"/>
                <w:b/>
                <w:color w:val="auto"/>
                <w:sz w:val="24"/>
                <w:vertAlign w:val="superscript"/>
              </w:rPr>
            </w:pPr>
            <w:r>
              <w:rPr>
                <w:rFonts w:hint="default" w:ascii="Times New Roman" w:hAnsi="Times New Roman" w:eastAsia="宋体" w:cs="Times New Roman"/>
                <w:b/>
                <w:color w:val="auto"/>
                <w:sz w:val="24"/>
                <w:lang w:bidi="ar"/>
              </w:rPr>
              <w:t>表3-1大气环境质量监测统计结果  单位：ug/m</w:t>
            </w:r>
            <w:r>
              <w:rPr>
                <w:rFonts w:hint="default" w:ascii="Times New Roman" w:hAnsi="Times New Roman" w:eastAsia="宋体" w:cs="Times New Roman"/>
                <w:b/>
                <w:color w:val="auto"/>
                <w:sz w:val="24"/>
                <w:vertAlign w:val="superscript"/>
                <w:lang w:bidi="ar"/>
              </w:rPr>
              <w:t>3</w:t>
            </w:r>
          </w:p>
          <w:tbl>
            <w:tblPr>
              <w:tblStyle w:val="14"/>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757"/>
              <w:gridCol w:w="1766"/>
              <w:gridCol w:w="1277"/>
              <w:gridCol w:w="124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污染物</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年评价指标</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ind w:left="210" w:hanging="210" w:hangingChars="100"/>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现状浓度</w:t>
                  </w:r>
                </w:p>
                <w:p>
                  <w:pPr>
                    <w:adjustRightInd w:val="0"/>
                    <w:snapToGrid w:val="0"/>
                    <w:spacing w:line="320" w:lineRule="atLeast"/>
                    <w:ind w:left="210" w:hanging="210" w:hangingChars="100"/>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（μg/m</w:t>
                  </w:r>
                  <w:r>
                    <w:rPr>
                      <w:rFonts w:hint="default" w:ascii="Times New Roman" w:hAnsi="Times New Roman" w:cs="Times New Roman" w:eastAsiaTheme="minorEastAsia"/>
                      <w:color w:val="auto"/>
                      <w:szCs w:val="21"/>
                      <w:vertAlign w:val="superscript"/>
                      <w:lang w:bidi="ar"/>
                    </w:rPr>
                    <w:t>3</w:t>
                  </w:r>
                  <w:r>
                    <w:rPr>
                      <w:rFonts w:hint="default" w:ascii="Times New Roman" w:hAnsi="Times New Roman" w:cs="Times New Roman" w:eastAsiaTheme="minorEastAsia"/>
                      <w:color w:val="auto"/>
                      <w:szCs w:val="21"/>
                      <w:lang w:bidi="ar"/>
                    </w:rPr>
                    <w:t>）</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标准值</w:t>
                  </w:r>
                </w:p>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（μg/m</w:t>
                  </w:r>
                  <w:r>
                    <w:rPr>
                      <w:rFonts w:hint="default" w:ascii="Times New Roman" w:hAnsi="Times New Roman" w:cs="Times New Roman" w:eastAsiaTheme="minorEastAsia"/>
                      <w:color w:val="auto"/>
                      <w:szCs w:val="21"/>
                      <w:vertAlign w:val="superscript"/>
                      <w:lang w:bidi="ar"/>
                    </w:rPr>
                    <w:t>3</w:t>
                  </w:r>
                  <w:r>
                    <w:rPr>
                      <w:rFonts w:hint="default" w:ascii="Times New Roman" w:hAnsi="Times New Roman" w:cs="Times New Roman" w:eastAsiaTheme="minorEastAsia"/>
                      <w:color w:val="auto"/>
                      <w:szCs w:val="21"/>
                      <w:lang w:bidi="ar"/>
                    </w:rPr>
                    <w:t>）</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占标率</w:t>
                  </w:r>
                </w:p>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SO</w:t>
                  </w:r>
                  <w:r>
                    <w:rPr>
                      <w:rFonts w:hint="default" w:ascii="Times New Roman" w:hAnsi="Times New Roman" w:cs="Times New Roman" w:eastAsiaTheme="minorEastAsia"/>
                      <w:color w:val="auto"/>
                      <w:szCs w:val="21"/>
                      <w:vertAlign w:val="subscript"/>
                      <w:lang w:bidi="ar"/>
                    </w:rPr>
                    <w:t>2</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17</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60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28.33</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NO</w:t>
                  </w:r>
                  <w:r>
                    <w:rPr>
                      <w:rFonts w:hint="default" w:ascii="Times New Roman" w:hAnsi="Times New Roman" w:cs="Times New Roman" w:eastAsiaTheme="minorEastAsia"/>
                      <w:color w:val="auto"/>
                      <w:szCs w:val="21"/>
                      <w:vertAlign w:val="subscript"/>
                      <w:lang w:bidi="ar"/>
                    </w:rPr>
                    <w:t>2</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41</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40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102.50</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CO</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百分位数日平均质量浓度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1500（24小时平均第95百分位数）</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4000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37.50</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O</w:t>
                  </w:r>
                  <w:r>
                    <w:rPr>
                      <w:rFonts w:hint="default" w:ascii="Times New Roman" w:hAnsi="Times New Roman" w:cs="Times New Roman" w:eastAsiaTheme="minorEastAsia"/>
                      <w:color w:val="auto"/>
                      <w:szCs w:val="21"/>
                      <w:vertAlign w:val="subscript"/>
                      <w:lang w:bidi="ar"/>
                    </w:rPr>
                    <w:t>3</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8小时平均质量浓度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170（日最大8小时滑动平均值的第90百分位数）</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160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106.25</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PM</w:t>
                  </w:r>
                  <w:r>
                    <w:rPr>
                      <w:rFonts w:hint="default" w:ascii="Times New Roman" w:hAnsi="Times New Roman" w:cs="Times New Roman" w:eastAsiaTheme="minorEastAsia"/>
                      <w:color w:val="auto"/>
                      <w:szCs w:val="21"/>
                      <w:vertAlign w:val="subscript"/>
                      <w:lang w:bidi="ar"/>
                    </w:rPr>
                    <w:t>10</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73</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70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104.29</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PM</w:t>
                  </w:r>
                  <w:r>
                    <w:rPr>
                      <w:rFonts w:hint="default" w:ascii="Times New Roman" w:hAnsi="Times New Roman" w:cs="Times New Roman" w:eastAsiaTheme="minorEastAsia"/>
                      <w:color w:val="auto"/>
                      <w:szCs w:val="21"/>
                      <w:vertAlign w:val="subscript"/>
                      <w:lang w:bidi="ar"/>
                    </w:rPr>
                    <w:t>2.5</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47</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35</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134.29</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lang w:bidi="ar"/>
                    </w:rPr>
                    <w:t>不达标</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2017年常州市环境空气中二氧化硫年均值和一氧化碳24小时平均值均达到环境空气质量二级标准；二氧化氮、</w:t>
            </w:r>
            <w:r>
              <w:rPr>
                <w:rFonts w:hint="default" w:ascii="Times New Roman" w:hAnsi="Times New Roman" w:eastAsia="仿宋" w:cs="Times New Roman"/>
                <w:color w:val="auto"/>
                <w:sz w:val="24"/>
                <w:lang w:bidi="ar"/>
              </w:rPr>
              <w:t>PM</w:t>
            </w:r>
            <w:r>
              <w:rPr>
                <w:rFonts w:hint="default" w:ascii="Times New Roman" w:hAnsi="Times New Roman" w:eastAsia="仿宋" w:cs="Times New Roman"/>
                <w:color w:val="auto"/>
                <w:sz w:val="24"/>
                <w:vertAlign w:val="subscript"/>
                <w:lang w:bidi="ar"/>
              </w:rPr>
              <w:t>10</w:t>
            </w:r>
            <w:r>
              <w:rPr>
                <w:rFonts w:hint="default" w:ascii="Times New Roman" w:hAnsi="Times New Roman" w:eastAsia="宋体" w:cs="Times New Roman"/>
                <w:color w:val="auto"/>
                <w:sz w:val="24"/>
                <w:lang w:bidi="ar"/>
              </w:rPr>
              <w:t>、</w:t>
            </w:r>
            <w:r>
              <w:rPr>
                <w:rFonts w:hint="default" w:ascii="Times New Roman" w:hAnsi="Times New Roman" w:eastAsia="仿宋" w:cs="Times New Roman"/>
                <w:color w:val="auto"/>
                <w:sz w:val="24"/>
                <w:lang w:bidi="ar"/>
              </w:rPr>
              <w:t>PM</w:t>
            </w:r>
            <w:r>
              <w:rPr>
                <w:rFonts w:hint="default" w:ascii="Times New Roman" w:hAnsi="Times New Roman" w:eastAsia="仿宋" w:cs="Times New Roman"/>
                <w:color w:val="auto"/>
                <w:sz w:val="24"/>
                <w:vertAlign w:val="subscript"/>
                <w:lang w:bidi="ar"/>
              </w:rPr>
              <w:t>2.5</w:t>
            </w:r>
            <w:r>
              <w:rPr>
                <w:rFonts w:hint="default" w:ascii="Times New Roman" w:hAnsi="Times New Roman" w:eastAsia="宋体" w:cs="Times New Roman"/>
                <w:color w:val="auto"/>
                <w:sz w:val="24"/>
                <w:lang w:bidi="ar"/>
              </w:rPr>
              <w:t>年均值和臭氧日最大8小时滑动均值均超过环境空气质量二级标准，常州市2017年环境空气质量不达标，因此判定为非达标区。</w:t>
            </w:r>
          </w:p>
          <w:p>
            <w:pPr>
              <w:pStyle w:val="6"/>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）区域削减</w:t>
            </w:r>
          </w:p>
          <w:p>
            <w:pPr>
              <w:spacing w:line="360" w:lineRule="auto"/>
              <w:ind w:firstLine="480" w:firstLineChars="200"/>
              <w:rPr>
                <w:rFonts w:hint="default" w:ascii="Times New Roman" w:hAnsi="Times New Roman" w:eastAsia="宋体" w:cs="Times New Roman"/>
                <w:b/>
                <w:color w:val="auto"/>
                <w:sz w:val="24"/>
                <w:highlight w:val="yellow"/>
              </w:rPr>
            </w:pPr>
            <w:r>
              <w:rPr>
                <w:rFonts w:hint="default" w:ascii="Times New Roman" w:hAnsi="Times New Roman" w:eastAsia="宋体" w:cs="Times New Roman"/>
                <w:color w:val="auto"/>
                <w:sz w:val="24"/>
                <w:lang w:bidi="ar"/>
              </w:rPr>
              <w:t>为切实做好2018年大气污染防治工作，改善全市空气环境质量，中共常州市委、常州市人民政府印发了《常州市2018年大气污染防治攻坚行动方案》，提出的工作内容包括降低燃煤消耗量、对工业企业采取强制减排措施、加强工业烟气污染治理、实施颗粒物无组织排放深度整治、全面排查与达标排放、扎实推进重点行业挥发性有机物（VOCs）治理、提高城市管理水平、加强移动源污染防治、加大产业结构调整力度等。工作目标为6-12月全市主要污染物平均减排比例不低于43%，到2018年底，市区空气质量二级以上优良天数比例达到69.7%以上，PM2.5年均浓度控制在47微克/立方米以下。</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2、地表水质量现状</w:t>
            </w:r>
          </w:p>
          <w:p>
            <w:pPr>
              <w:spacing w:line="480" w:lineRule="exact"/>
              <w:ind w:firstLine="480" w:firstLineChars="200"/>
              <w:rPr>
                <w:rFonts w:hint="eastAsia"/>
                <w:sz w:val="24"/>
              </w:rPr>
            </w:pPr>
            <w:r>
              <w:rPr>
                <w:rFonts w:hint="eastAsia"/>
                <w:sz w:val="24"/>
              </w:rPr>
              <w:t>1）区域水环境状况</w:t>
            </w:r>
          </w:p>
          <w:p>
            <w:pPr>
              <w:spacing w:line="480" w:lineRule="exact"/>
              <w:ind w:firstLine="480" w:firstLineChars="200"/>
              <w:rPr>
                <w:rFonts w:hint="eastAsia"/>
                <w:sz w:val="24"/>
              </w:rPr>
            </w:pPr>
            <w:r>
              <w:rPr>
                <w:kern w:val="0"/>
                <w:sz w:val="24"/>
              </w:rPr>
              <w:t>根据《常州市2017年环境质量公报》，</w:t>
            </w:r>
            <w:r>
              <w:rPr>
                <w:rFonts w:hint="eastAsia"/>
                <w:sz w:val="24"/>
              </w:rPr>
              <w:t>2017 年，我市 33 个“水十条”断面中有 28 个断面水质达标，总体达标率为 84.8%。33 个断面中，Ⅲ类及以上水质断面 21 个，占比 63.6%，Ⅳ类水质断面 9 个，占比 27.3%；Ⅴ类水质断面 3 个，占比 9.1%；无劣Ⅴ类水质断面。主要湖库中，滆湖和长荡湖均处于中度富营养化状态，天目湖（沙河水库）和大溪水库均处于中营养状态。</w:t>
            </w:r>
          </w:p>
          <w:p>
            <w:pPr>
              <w:spacing w:line="480" w:lineRule="exact"/>
              <w:ind w:firstLine="480" w:firstLineChars="200"/>
              <w:rPr>
                <w:rFonts w:hint="eastAsia"/>
                <w:sz w:val="24"/>
              </w:rPr>
            </w:pPr>
            <w:r>
              <w:rPr>
                <w:rFonts w:hint="eastAsia"/>
                <w:kern w:val="0"/>
                <w:sz w:val="24"/>
              </w:rPr>
              <w:t>根据</w:t>
            </w:r>
            <w:r>
              <w:rPr>
                <w:rFonts w:hint="eastAsia"/>
                <w:sz w:val="24"/>
              </w:rPr>
              <w:t>《常州市太湖流域水环境综合治理三年行动计划（2018-2020年）》等的相关要求，完善区域污水管网布局，提升城镇污水管网建设水平，推进村庄生活污水接管处置；合理新（扩）建污水处理厂及提标，完善垃圾收运及处理系统；加快工业企业污水接管及重污染企业整治，加强通航船舶污染治理等相关任务，</w:t>
            </w:r>
            <w:r>
              <w:rPr>
                <w:rFonts w:hint="eastAsia"/>
                <w:kern w:val="0"/>
                <w:sz w:val="24"/>
              </w:rPr>
              <w:t>以实现</w:t>
            </w:r>
            <w:r>
              <w:rPr>
                <w:kern w:val="0"/>
                <w:sz w:val="24"/>
              </w:rPr>
              <w:t>区域</w:t>
            </w:r>
            <w:r>
              <w:rPr>
                <w:rFonts w:hint="eastAsia"/>
                <w:kern w:val="0"/>
                <w:sz w:val="24"/>
              </w:rPr>
              <w:t>环境质量达标。</w:t>
            </w:r>
          </w:p>
          <w:p>
            <w:pPr>
              <w:spacing w:line="480" w:lineRule="exact"/>
              <w:ind w:firstLine="480" w:firstLineChars="200"/>
              <w:rPr>
                <w:rFonts w:hint="eastAsia"/>
                <w:sz w:val="24"/>
              </w:rPr>
            </w:pPr>
            <w:r>
              <w:rPr>
                <w:rFonts w:hint="eastAsia"/>
                <w:sz w:val="24"/>
              </w:rPr>
              <w:t>治理目标：到2020年，武进港、太滆运河、漕桥河三条入湖河流水质年均浓度达到国家和省河流水质控制目标要求，国控考核断面水质达标率达到80%，长荡湖、滆湖等湖泊水质比2013年水质有进一步改善；全市COD、氨氮、总磷、总氮排放量比2015年分别下降5.9%、6.9%、19.5%和16.3%。全面完成《太湖流域水环境综合治理总体方案（2013年修编）》、《江苏省太湖流域水环境综合治理实施方案（2013年修编）》、《江苏省“十三五”太湖流域水环境综合治理行动方案》等规划方案中提出的2020年水质考核目标。</w:t>
            </w:r>
          </w:p>
          <w:p>
            <w:pPr>
              <w:spacing w:line="480" w:lineRule="exact"/>
              <w:ind w:firstLine="480" w:firstLineChars="200"/>
              <w:rPr>
                <w:rFonts w:hint="eastAsia"/>
                <w:sz w:val="24"/>
              </w:rPr>
            </w:pPr>
            <w:r>
              <w:rPr>
                <w:rFonts w:hint="eastAsia"/>
                <w:sz w:val="24"/>
              </w:rPr>
              <w:t>2）纳污水体环境质量现状</w:t>
            </w:r>
          </w:p>
          <w:p>
            <w:pPr>
              <w:spacing w:line="480" w:lineRule="exact"/>
              <w:ind w:firstLine="480" w:firstLineChars="200"/>
              <w:rPr>
                <w:sz w:val="24"/>
              </w:rPr>
            </w:pPr>
            <w:r>
              <w:rPr>
                <w:sz w:val="24"/>
              </w:rPr>
              <w:t>本次地表水环境质量现状评价拟设立2个引用断面，W1、W2分别引用常州市武进湖塘集体资产经营有限公司武进区湖塘镇2018-2019污水管网项目》中常州佳蓝环境检测有限公司于2018年8月3日~8月5日对采菱港的历史监测数据，具体引用断面详见表3-</w:t>
            </w:r>
            <w:r>
              <w:rPr>
                <w:rFonts w:hint="eastAsia"/>
                <w:sz w:val="24"/>
              </w:rPr>
              <w:t>4</w:t>
            </w:r>
            <w:r>
              <w:rPr>
                <w:sz w:val="24"/>
              </w:rPr>
              <w:t>。</w:t>
            </w:r>
          </w:p>
          <w:p>
            <w:pPr>
              <w:spacing w:line="480" w:lineRule="exact"/>
              <w:ind w:firstLine="480" w:firstLineChars="200"/>
              <w:rPr>
                <w:b/>
                <w:bCs/>
                <w:sz w:val="24"/>
              </w:rPr>
            </w:pPr>
            <w:r>
              <w:rPr>
                <w:kern w:val="0"/>
                <w:sz w:val="24"/>
                <w:szCs w:val="28"/>
              </w:rPr>
              <w:t>引用数据有效性分析：</w:t>
            </w:r>
            <w:r>
              <w:rPr>
                <w:kern w:val="0"/>
                <w:sz w:val="24"/>
                <w:szCs w:val="28"/>
              </w:rPr>
              <w:fldChar w:fldCharType="begin"/>
            </w:r>
            <w:r>
              <w:rPr>
                <w:kern w:val="0"/>
                <w:sz w:val="24"/>
                <w:szCs w:val="28"/>
              </w:rPr>
              <w:instrText xml:space="preserve"> = 1 \* GB3 \* MERGEFORMAT </w:instrText>
            </w:r>
            <w:r>
              <w:rPr>
                <w:kern w:val="0"/>
                <w:sz w:val="24"/>
                <w:szCs w:val="28"/>
              </w:rPr>
              <w:fldChar w:fldCharType="separate"/>
            </w:r>
            <w:r>
              <w:rPr>
                <w:rFonts w:hint="eastAsia" w:ascii="宋体" w:hAnsi="宋体" w:cs="宋体"/>
                <w:kern w:val="0"/>
                <w:sz w:val="24"/>
                <w:szCs w:val="28"/>
              </w:rPr>
              <w:t>①</w:t>
            </w:r>
            <w:r>
              <w:rPr>
                <w:kern w:val="0"/>
                <w:sz w:val="24"/>
                <w:szCs w:val="28"/>
              </w:rPr>
              <w:fldChar w:fldCharType="end"/>
            </w:r>
            <w:r>
              <w:rPr>
                <w:kern w:val="0"/>
                <w:sz w:val="24"/>
                <w:szCs w:val="28"/>
              </w:rPr>
              <w:t>于</w:t>
            </w:r>
            <w:r>
              <w:rPr>
                <w:sz w:val="24"/>
              </w:rPr>
              <w:t>2018年8月3日~8月5日</w:t>
            </w:r>
            <w:r>
              <w:rPr>
                <w:kern w:val="0"/>
                <w:sz w:val="24"/>
                <w:szCs w:val="28"/>
              </w:rPr>
              <w:t>检测地表水，引用时间不超过1年，地表水引用时间有效；</w:t>
            </w:r>
            <w:r>
              <w:rPr>
                <w:kern w:val="0"/>
                <w:sz w:val="24"/>
                <w:szCs w:val="28"/>
              </w:rPr>
              <w:fldChar w:fldCharType="begin"/>
            </w:r>
            <w:r>
              <w:rPr>
                <w:kern w:val="0"/>
                <w:sz w:val="24"/>
                <w:szCs w:val="28"/>
              </w:rPr>
              <w:instrText xml:space="preserve"> = 2 \* GB3 \* MERGEFORMAT </w:instrText>
            </w:r>
            <w:r>
              <w:rPr>
                <w:kern w:val="0"/>
                <w:sz w:val="24"/>
                <w:szCs w:val="28"/>
              </w:rPr>
              <w:fldChar w:fldCharType="separate"/>
            </w:r>
            <w:r>
              <w:rPr>
                <w:rFonts w:hint="eastAsia" w:ascii="宋体" w:hAnsi="宋体" w:cs="宋体"/>
                <w:kern w:val="0"/>
                <w:sz w:val="24"/>
                <w:szCs w:val="28"/>
              </w:rPr>
              <w:t>②</w:t>
            </w:r>
            <w:r>
              <w:rPr>
                <w:kern w:val="0"/>
                <w:sz w:val="24"/>
                <w:szCs w:val="28"/>
              </w:rPr>
              <w:fldChar w:fldCharType="end"/>
            </w:r>
            <w:r>
              <w:rPr>
                <w:kern w:val="0"/>
                <w:sz w:val="24"/>
                <w:szCs w:val="28"/>
              </w:rPr>
              <w:t>项目所在区域内污染源未发生重大变化，可引用1年内地表水的检测数据；</w:t>
            </w:r>
            <w:r>
              <w:rPr>
                <w:kern w:val="0"/>
                <w:sz w:val="24"/>
                <w:szCs w:val="28"/>
              </w:rPr>
              <w:fldChar w:fldCharType="begin"/>
            </w:r>
            <w:r>
              <w:rPr>
                <w:kern w:val="0"/>
                <w:sz w:val="24"/>
                <w:szCs w:val="28"/>
              </w:rPr>
              <w:instrText xml:space="preserve"> = 3 \* GB3 \* MERGEFORMAT </w:instrText>
            </w:r>
            <w:r>
              <w:rPr>
                <w:kern w:val="0"/>
                <w:sz w:val="24"/>
                <w:szCs w:val="28"/>
              </w:rPr>
              <w:fldChar w:fldCharType="separate"/>
            </w:r>
            <w:r>
              <w:rPr>
                <w:rFonts w:hint="eastAsia" w:ascii="宋体" w:hAnsi="宋体" w:cs="宋体"/>
                <w:kern w:val="0"/>
                <w:sz w:val="24"/>
                <w:szCs w:val="28"/>
              </w:rPr>
              <w:t>③</w:t>
            </w:r>
            <w:r>
              <w:rPr>
                <w:kern w:val="0"/>
                <w:sz w:val="24"/>
                <w:szCs w:val="28"/>
              </w:rPr>
              <w:fldChar w:fldCharType="end"/>
            </w:r>
            <w:r>
              <w:rPr>
                <w:kern w:val="0"/>
                <w:sz w:val="24"/>
                <w:szCs w:val="28"/>
              </w:rPr>
              <w:t>引用点位在项目相关评价范围内，因此地表水引用点位有效。</w:t>
            </w:r>
          </w:p>
          <w:p>
            <w:pPr>
              <w:spacing w:line="400" w:lineRule="exact"/>
              <w:jc w:val="center"/>
              <w:rPr>
                <w:b/>
                <w:bCs/>
                <w:sz w:val="24"/>
              </w:rPr>
            </w:pPr>
            <w:r>
              <w:rPr>
                <w:b/>
                <w:bCs/>
                <w:sz w:val="24"/>
              </w:rPr>
              <w:t>表3-</w:t>
            </w:r>
            <w:r>
              <w:rPr>
                <w:rFonts w:hint="eastAsia"/>
                <w:b/>
                <w:bCs/>
                <w:sz w:val="24"/>
              </w:rPr>
              <w:t>4</w:t>
            </w:r>
            <w:r>
              <w:rPr>
                <w:b/>
                <w:bCs/>
                <w:sz w:val="24"/>
              </w:rPr>
              <w:t xml:space="preserve">  地表水</w:t>
            </w:r>
            <w:r>
              <w:rPr>
                <w:b/>
                <w:sz w:val="24"/>
              </w:rPr>
              <w:t>环境质量现状引用</w:t>
            </w:r>
            <w:r>
              <w:rPr>
                <w:b/>
                <w:bCs/>
                <w:sz w:val="24"/>
              </w:rPr>
              <w:t>断面</w:t>
            </w:r>
          </w:p>
          <w:tbl>
            <w:tblPr>
              <w:tblStyle w:val="14"/>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4"/>
              <w:gridCol w:w="1432"/>
              <w:gridCol w:w="1742"/>
              <w:gridCol w:w="1041"/>
              <w:gridCol w:w="1225"/>
              <w:gridCol w:w="8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Align w:val="center"/>
                </w:tcPr>
                <w:p>
                  <w:pPr>
                    <w:spacing w:line="320" w:lineRule="exact"/>
                    <w:jc w:val="center"/>
                    <w:rPr>
                      <w:b/>
                      <w:bCs/>
                      <w:szCs w:val="21"/>
                    </w:rPr>
                  </w:pPr>
                  <w:r>
                    <w:rPr>
                      <w:b/>
                      <w:bCs/>
                      <w:szCs w:val="21"/>
                    </w:rPr>
                    <w:t>河流名称</w:t>
                  </w:r>
                </w:p>
              </w:tc>
              <w:tc>
                <w:tcPr>
                  <w:tcW w:w="834" w:type="dxa"/>
                  <w:vAlign w:val="center"/>
                </w:tcPr>
                <w:p>
                  <w:pPr>
                    <w:spacing w:line="320" w:lineRule="exact"/>
                    <w:jc w:val="center"/>
                    <w:rPr>
                      <w:b/>
                      <w:bCs/>
                      <w:szCs w:val="21"/>
                    </w:rPr>
                  </w:pPr>
                  <w:r>
                    <w:rPr>
                      <w:b/>
                      <w:sz w:val="24"/>
                    </w:rPr>
                    <w:t>监测</w:t>
                  </w:r>
                  <w:r>
                    <w:rPr>
                      <w:b/>
                      <w:bCs/>
                      <w:szCs w:val="21"/>
                    </w:rPr>
                    <w:t>断面</w:t>
                  </w:r>
                </w:p>
              </w:tc>
              <w:tc>
                <w:tcPr>
                  <w:tcW w:w="1432" w:type="dxa"/>
                  <w:vAlign w:val="center"/>
                </w:tcPr>
                <w:p>
                  <w:pPr>
                    <w:spacing w:line="320" w:lineRule="exact"/>
                    <w:jc w:val="center"/>
                    <w:rPr>
                      <w:b/>
                      <w:bCs/>
                      <w:szCs w:val="21"/>
                    </w:rPr>
                  </w:pPr>
                  <w:r>
                    <w:rPr>
                      <w:b/>
                      <w:bCs/>
                      <w:szCs w:val="21"/>
                    </w:rPr>
                    <w:t>断面位置</w:t>
                  </w:r>
                </w:p>
              </w:tc>
              <w:tc>
                <w:tcPr>
                  <w:tcW w:w="1742" w:type="dxa"/>
                  <w:vAlign w:val="center"/>
                </w:tcPr>
                <w:p>
                  <w:pPr>
                    <w:spacing w:line="320" w:lineRule="exact"/>
                    <w:jc w:val="center"/>
                    <w:rPr>
                      <w:b/>
                      <w:bCs/>
                      <w:szCs w:val="21"/>
                    </w:rPr>
                  </w:pPr>
                  <w:r>
                    <w:rPr>
                      <w:b/>
                      <w:bCs/>
                      <w:szCs w:val="21"/>
                    </w:rPr>
                    <w:t>距城区污水处理厂排口距离(m)</w:t>
                  </w:r>
                </w:p>
              </w:tc>
              <w:tc>
                <w:tcPr>
                  <w:tcW w:w="1041" w:type="dxa"/>
                  <w:vAlign w:val="center"/>
                </w:tcPr>
                <w:p>
                  <w:pPr>
                    <w:spacing w:line="320" w:lineRule="exact"/>
                    <w:jc w:val="center"/>
                    <w:rPr>
                      <w:b/>
                      <w:bCs/>
                      <w:szCs w:val="21"/>
                    </w:rPr>
                  </w:pPr>
                  <w:r>
                    <w:rPr>
                      <w:b/>
                      <w:bCs/>
                      <w:szCs w:val="21"/>
                    </w:rPr>
                    <w:t>断面位置</w:t>
                  </w:r>
                </w:p>
              </w:tc>
              <w:tc>
                <w:tcPr>
                  <w:tcW w:w="1225" w:type="dxa"/>
                  <w:vAlign w:val="center"/>
                </w:tcPr>
                <w:p>
                  <w:pPr>
                    <w:spacing w:line="320" w:lineRule="exact"/>
                    <w:jc w:val="center"/>
                    <w:rPr>
                      <w:b/>
                      <w:bCs/>
                      <w:szCs w:val="21"/>
                    </w:rPr>
                  </w:pPr>
                  <w:r>
                    <w:rPr>
                      <w:b/>
                      <w:sz w:val="24"/>
                    </w:rPr>
                    <w:t>监测</w:t>
                  </w:r>
                  <w:r>
                    <w:rPr>
                      <w:b/>
                      <w:bCs/>
                      <w:szCs w:val="21"/>
                    </w:rPr>
                    <w:t>因子</w:t>
                  </w:r>
                </w:p>
              </w:tc>
              <w:tc>
                <w:tcPr>
                  <w:tcW w:w="800" w:type="dxa"/>
                  <w:vAlign w:val="center"/>
                </w:tcPr>
                <w:p>
                  <w:pPr>
                    <w:spacing w:line="320" w:lineRule="exact"/>
                    <w:jc w:val="center"/>
                    <w:rPr>
                      <w:b/>
                      <w:bCs/>
                      <w:szCs w:val="21"/>
                    </w:rPr>
                  </w:pPr>
                  <w:r>
                    <w:rPr>
                      <w:b/>
                      <w:bCs/>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Merge w:val="restart"/>
                  <w:vAlign w:val="center"/>
                </w:tcPr>
                <w:p>
                  <w:pPr>
                    <w:spacing w:line="320" w:lineRule="exact"/>
                    <w:jc w:val="center"/>
                    <w:rPr>
                      <w:szCs w:val="21"/>
                    </w:rPr>
                  </w:pPr>
                  <w:r>
                    <w:rPr>
                      <w:szCs w:val="21"/>
                    </w:rPr>
                    <w:t>采菱港</w:t>
                  </w:r>
                </w:p>
              </w:tc>
              <w:tc>
                <w:tcPr>
                  <w:tcW w:w="834" w:type="dxa"/>
                  <w:vAlign w:val="center"/>
                </w:tcPr>
                <w:p>
                  <w:pPr>
                    <w:spacing w:line="320" w:lineRule="exact"/>
                    <w:jc w:val="center"/>
                    <w:rPr>
                      <w:szCs w:val="21"/>
                    </w:rPr>
                  </w:pPr>
                  <w:r>
                    <w:t>W1</w:t>
                  </w:r>
                </w:p>
              </w:tc>
              <w:tc>
                <w:tcPr>
                  <w:tcW w:w="1432" w:type="dxa"/>
                  <w:vAlign w:val="center"/>
                </w:tcPr>
                <w:p>
                  <w:pPr>
                    <w:jc w:val="center"/>
                    <w:rPr>
                      <w:szCs w:val="21"/>
                    </w:rPr>
                  </w:pPr>
                  <w:r>
                    <w:t>新312国道桥</w:t>
                  </w:r>
                </w:p>
              </w:tc>
              <w:tc>
                <w:tcPr>
                  <w:tcW w:w="1742" w:type="dxa"/>
                  <w:vAlign w:val="center"/>
                </w:tcPr>
                <w:p>
                  <w:pPr>
                    <w:jc w:val="center"/>
                    <w:rPr>
                      <w:szCs w:val="21"/>
                    </w:rPr>
                  </w:pPr>
                  <w:r>
                    <w:t>上游1000m</w:t>
                  </w:r>
                </w:p>
              </w:tc>
              <w:tc>
                <w:tcPr>
                  <w:tcW w:w="1041" w:type="dxa"/>
                  <w:vMerge w:val="restart"/>
                  <w:vAlign w:val="center"/>
                </w:tcPr>
                <w:p>
                  <w:pPr>
                    <w:spacing w:line="320" w:lineRule="exact"/>
                    <w:jc w:val="center"/>
                    <w:rPr>
                      <w:szCs w:val="21"/>
                    </w:rPr>
                  </w:pPr>
                  <w:r>
                    <w:rPr>
                      <w:szCs w:val="21"/>
                    </w:rPr>
                    <w:t>河道中央</w:t>
                  </w:r>
                </w:p>
              </w:tc>
              <w:tc>
                <w:tcPr>
                  <w:tcW w:w="1225" w:type="dxa"/>
                  <w:vMerge w:val="restart"/>
                  <w:vAlign w:val="center"/>
                </w:tcPr>
                <w:p>
                  <w:pPr>
                    <w:jc w:val="center"/>
                    <w:rPr>
                      <w:szCs w:val="21"/>
                    </w:rPr>
                  </w:pPr>
                  <w:r>
                    <w:rPr>
                      <w:szCs w:val="21"/>
                    </w:rPr>
                    <w:t>pH、高锰酸盐指数、</w:t>
                  </w:r>
                </w:p>
                <w:p>
                  <w:pPr>
                    <w:jc w:val="center"/>
                    <w:rPr>
                      <w:szCs w:val="21"/>
                    </w:rPr>
                  </w:pPr>
                  <w:r>
                    <w:rPr>
                      <w:szCs w:val="21"/>
                    </w:rPr>
                    <w:t>氨氮、TP</w:t>
                  </w:r>
                </w:p>
              </w:tc>
              <w:tc>
                <w:tcPr>
                  <w:tcW w:w="800" w:type="dxa"/>
                  <w:vMerge w:val="restart"/>
                  <w:vAlign w:val="center"/>
                </w:tcPr>
                <w:p>
                  <w:pPr>
                    <w:jc w:val="center"/>
                    <w:rPr>
                      <w:szCs w:val="21"/>
                    </w:rPr>
                  </w:pPr>
                  <w:r>
                    <w:rPr>
                      <w:rFonts w:hint="eastAsia" w:ascii="宋体" w:hAnsi="宋体" w:cs="宋体"/>
                      <w:szCs w:val="21"/>
                    </w:rPr>
                    <w:t>Ⅳ</w:t>
                  </w:r>
                  <w:r>
                    <w:rPr>
                      <w:szCs w:val="21"/>
                    </w:rPr>
                    <w:t>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Merge w:val="continue"/>
                  <w:vAlign w:val="center"/>
                </w:tcPr>
                <w:p>
                  <w:pPr>
                    <w:spacing w:line="320" w:lineRule="exact"/>
                    <w:jc w:val="center"/>
                    <w:rPr>
                      <w:szCs w:val="21"/>
                    </w:rPr>
                  </w:pPr>
                </w:p>
              </w:tc>
              <w:tc>
                <w:tcPr>
                  <w:tcW w:w="834" w:type="dxa"/>
                  <w:vAlign w:val="center"/>
                </w:tcPr>
                <w:p>
                  <w:pPr>
                    <w:spacing w:line="320" w:lineRule="exact"/>
                    <w:jc w:val="center"/>
                    <w:rPr>
                      <w:szCs w:val="21"/>
                    </w:rPr>
                  </w:pPr>
                  <w:r>
                    <w:t>W2</w:t>
                  </w:r>
                </w:p>
              </w:tc>
              <w:tc>
                <w:tcPr>
                  <w:tcW w:w="1432" w:type="dxa"/>
                  <w:vAlign w:val="center"/>
                </w:tcPr>
                <w:p>
                  <w:pPr>
                    <w:jc w:val="center"/>
                    <w:rPr>
                      <w:szCs w:val="21"/>
                    </w:rPr>
                  </w:pPr>
                  <w:r>
                    <w:t>马杭桥</w:t>
                  </w:r>
                </w:p>
              </w:tc>
              <w:tc>
                <w:tcPr>
                  <w:tcW w:w="1742" w:type="dxa"/>
                  <w:vAlign w:val="center"/>
                </w:tcPr>
                <w:p>
                  <w:pPr>
                    <w:jc w:val="center"/>
                    <w:rPr>
                      <w:szCs w:val="21"/>
                    </w:rPr>
                  </w:pPr>
                  <w:r>
                    <w:t>下游1500m</w:t>
                  </w:r>
                </w:p>
              </w:tc>
              <w:tc>
                <w:tcPr>
                  <w:tcW w:w="1041" w:type="dxa"/>
                  <w:vMerge w:val="continue"/>
                  <w:vAlign w:val="center"/>
                </w:tcPr>
                <w:p>
                  <w:pPr>
                    <w:spacing w:line="320" w:lineRule="exact"/>
                    <w:jc w:val="center"/>
                    <w:rPr>
                      <w:szCs w:val="21"/>
                    </w:rPr>
                  </w:pPr>
                </w:p>
              </w:tc>
              <w:tc>
                <w:tcPr>
                  <w:tcW w:w="1225" w:type="dxa"/>
                  <w:vMerge w:val="continue"/>
                  <w:vAlign w:val="center"/>
                </w:tcPr>
                <w:p>
                  <w:pPr>
                    <w:spacing w:line="320" w:lineRule="exact"/>
                    <w:jc w:val="center"/>
                    <w:rPr>
                      <w:szCs w:val="21"/>
                    </w:rPr>
                  </w:pPr>
                </w:p>
              </w:tc>
              <w:tc>
                <w:tcPr>
                  <w:tcW w:w="800" w:type="dxa"/>
                  <w:vMerge w:val="continue"/>
                  <w:vAlign w:val="center"/>
                </w:tcPr>
                <w:p>
                  <w:pPr>
                    <w:spacing w:line="320" w:lineRule="exact"/>
                    <w:jc w:val="center"/>
                    <w:rPr>
                      <w:szCs w:val="21"/>
                    </w:rPr>
                  </w:pPr>
                </w:p>
              </w:tc>
            </w:tr>
          </w:tbl>
          <w:p>
            <w:pPr>
              <w:spacing w:line="480" w:lineRule="exact"/>
              <w:ind w:firstLine="472" w:firstLineChars="196"/>
              <w:jc w:val="center"/>
              <w:rPr>
                <w:b/>
                <w:bCs/>
                <w:sz w:val="24"/>
              </w:rPr>
            </w:pPr>
            <w:r>
              <w:rPr>
                <w:b/>
                <w:bCs/>
                <w:sz w:val="24"/>
              </w:rPr>
              <w:t>表3-</w:t>
            </w:r>
            <w:r>
              <w:rPr>
                <w:rFonts w:hint="eastAsia"/>
                <w:b/>
                <w:bCs/>
                <w:sz w:val="24"/>
              </w:rPr>
              <w:t>5</w:t>
            </w:r>
            <w:r>
              <w:rPr>
                <w:b/>
                <w:bCs/>
                <w:sz w:val="24"/>
              </w:rPr>
              <w:t xml:space="preserve"> 地表水质量引用结果表 （mg/L，pH无量纲）</w:t>
            </w:r>
          </w:p>
          <w:tbl>
            <w:tblPr>
              <w:tblStyle w:val="14"/>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38"/>
              <w:gridCol w:w="1357"/>
              <w:gridCol w:w="1386"/>
              <w:gridCol w:w="1298"/>
              <w:gridCol w:w="14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Align w:val="center"/>
                </w:tcPr>
                <w:p>
                  <w:pPr>
                    <w:spacing w:line="320" w:lineRule="exact"/>
                    <w:jc w:val="center"/>
                    <w:rPr>
                      <w:b/>
                      <w:szCs w:val="21"/>
                    </w:rPr>
                  </w:pPr>
                  <w:r>
                    <w:rPr>
                      <w:b/>
                      <w:szCs w:val="21"/>
                    </w:rPr>
                    <w:t>断面</w:t>
                  </w:r>
                </w:p>
              </w:tc>
              <w:tc>
                <w:tcPr>
                  <w:tcW w:w="1938" w:type="dxa"/>
                  <w:vAlign w:val="center"/>
                </w:tcPr>
                <w:p>
                  <w:pPr>
                    <w:spacing w:line="320" w:lineRule="exact"/>
                    <w:jc w:val="center"/>
                    <w:rPr>
                      <w:b/>
                      <w:szCs w:val="21"/>
                    </w:rPr>
                  </w:pPr>
                  <w:r>
                    <w:rPr>
                      <w:b/>
                      <w:szCs w:val="21"/>
                    </w:rPr>
                    <w:t>项目</w:t>
                  </w:r>
                </w:p>
              </w:tc>
              <w:tc>
                <w:tcPr>
                  <w:tcW w:w="1357" w:type="dxa"/>
                  <w:vAlign w:val="center"/>
                </w:tcPr>
                <w:p>
                  <w:pPr>
                    <w:pStyle w:val="49"/>
                    <w:widowControl w:val="0"/>
                    <w:pBdr>
                      <w:bottom w:val="none" w:color="auto" w:sz="0" w:space="0"/>
                    </w:pBdr>
                    <w:spacing w:before="0" w:after="0" w:line="320" w:lineRule="exact"/>
                    <w:rPr>
                      <w:rFonts w:ascii="Times New Roman" w:hAnsi="Times New Roman"/>
                      <w:b/>
                      <w:kern w:val="2"/>
                      <w:szCs w:val="21"/>
                    </w:rPr>
                  </w:pPr>
                  <w:r>
                    <w:rPr>
                      <w:rFonts w:ascii="Times New Roman" w:hAnsi="Times New Roman"/>
                      <w:b/>
                      <w:kern w:val="2"/>
                      <w:szCs w:val="21"/>
                    </w:rPr>
                    <w:t>pH</w:t>
                  </w:r>
                </w:p>
              </w:tc>
              <w:tc>
                <w:tcPr>
                  <w:tcW w:w="1386" w:type="dxa"/>
                  <w:vAlign w:val="center"/>
                </w:tcPr>
                <w:p>
                  <w:pPr>
                    <w:spacing w:line="320" w:lineRule="exact"/>
                    <w:jc w:val="center"/>
                    <w:rPr>
                      <w:b/>
                      <w:szCs w:val="21"/>
                    </w:rPr>
                  </w:pPr>
                  <w:r>
                    <w:rPr>
                      <w:b/>
                      <w:bCs/>
                      <w:szCs w:val="21"/>
                    </w:rPr>
                    <w:t>COD</w:t>
                  </w:r>
                </w:p>
              </w:tc>
              <w:tc>
                <w:tcPr>
                  <w:tcW w:w="1298" w:type="dxa"/>
                  <w:vAlign w:val="center"/>
                </w:tcPr>
                <w:p>
                  <w:pPr>
                    <w:spacing w:line="320" w:lineRule="exact"/>
                    <w:jc w:val="center"/>
                    <w:rPr>
                      <w:b/>
                      <w:szCs w:val="21"/>
                    </w:rPr>
                  </w:pPr>
                  <w:r>
                    <w:rPr>
                      <w:b/>
                      <w:szCs w:val="21"/>
                    </w:rPr>
                    <w:t>NH</w:t>
                  </w:r>
                  <w:r>
                    <w:rPr>
                      <w:b/>
                      <w:szCs w:val="21"/>
                      <w:vertAlign w:val="subscript"/>
                    </w:rPr>
                    <w:t>3</w:t>
                  </w:r>
                  <w:r>
                    <w:rPr>
                      <w:b/>
                      <w:szCs w:val="21"/>
                    </w:rPr>
                    <w:t>-N</w:t>
                  </w:r>
                </w:p>
              </w:tc>
              <w:tc>
                <w:tcPr>
                  <w:tcW w:w="1411" w:type="dxa"/>
                  <w:vAlign w:val="center"/>
                </w:tcPr>
                <w:p>
                  <w:pPr>
                    <w:spacing w:line="320" w:lineRule="exact"/>
                    <w:jc w:val="center"/>
                    <w:rPr>
                      <w:b/>
                      <w:szCs w:val="21"/>
                    </w:rPr>
                  </w:pPr>
                  <w:r>
                    <w:rPr>
                      <w:b/>
                      <w:szCs w:val="21"/>
                    </w:rPr>
                    <w:t>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restart"/>
                  <w:vAlign w:val="center"/>
                </w:tcPr>
                <w:p>
                  <w:pPr>
                    <w:spacing w:line="320" w:lineRule="exact"/>
                    <w:jc w:val="center"/>
                    <w:rPr>
                      <w:szCs w:val="21"/>
                    </w:rPr>
                  </w:pPr>
                  <w:r>
                    <w:rPr>
                      <w:szCs w:val="21"/>
                    </w:rPr>
                    <w:t>W1</w:t>
                  </w:r>
                </w:p>
              </w:tc>
              <w:tc>
                <w:tcPr>
                  <w:tcW w:w="1938" w:type="dxa"/>
                  <w:vAlign w:val="center"/>
                </w:tcPr>
                <w:p>
                  <w:pPr>
                    <w:spacing w:line="320" w:lineRule="exact"/>
                    <w:jc w:val="center"/>
                    <w:rPr>
                      <w:szCs w:val="21"/>
                    </w:rPr>
                  </w:pPr>
                  <w:r>
                    <w:rPr>
                      <w:szCs w:val="21"/>
                    </w:rPr>
                    <w:t>浓度范围mg/L</w:t>
                  </w:r>
                </w:p>
              </w:tc>
              <w:tc>
                <w:tcPr>
                  <w:tcW w:w="1357" w:type="dxa"/>
                  <w:vAlign w:val="center"/>
                </w:tcPr>
                <w:p>
                  <w:pPr>
                    <w:jc w:val="center"/>
                    <w:rPr>
                      <w:szCs w:val="21"/>
                    </w:rPr>
                  </w:pPr>
                  <w:r>
                    <w:rPr>
                      <w:szCs w:val="21"/>
                    </w:rPr>
                    <w:t>7.31-7.37</w:t>
                  </w:r>
                </w:p>
              </w:tc>
              <w:tc>
                <w:tcPr>
                  <w:tcW w:w="1386" w:type="dxa"/>
                  <w:vAlign w:val="center"/>
                </w:tcPr>
                <w:p>
                  <w:pPr>
                    <w:jc w:val="center"/>
                    <w:rPr>
                      <w:szCs w:val="21"/>
                    </w:rPr>
                  </w:pPr>
                  <w:r>
                    <w:rPr>
                      <w:szCs w:val="21"/>
                    </w:rPr>
                    <w:t>12-19</w:t>
                  </w:r>
                </w:p>
              </w:tc>
              <w:tc>
                <w:tcPr>
                  <w:tcW w:w="1298" w:type="dxa"/>
                  <w:vAlign w:val="center"/>
                </w:tcPr>
                <w:p>
                  <w:pPr>
                    <w:jc w:val="center"/>
                    <w:rPr>
                      <w:szCs w:val="21"/>
                    </w:rPr>
                  </w:pPr>
                  <w:r>
                    <w:rPr>
                      <w:szCs w:val="21"/>
                    </w:rPr>
                    <w:t>0.249-0.281</w:t>
                  </w:r>
                </w:p>
              </w:tc>
              <w:tc>
                <w:tcPr>
                  <w:tcW w:w="1411" w:type="dxa"/>
                  <w:vAlign w:val="center"/>
                </w:tcPr>
                <w:p>
                  <w:pPr>
                    <w:jc w:val="center"/>
                    <w:rPr>
                      <w:szCs w:val="21"/>
                    </w:rPr>
                  </w:pPr>
                  <w:r>
                    <w:rPr>
                      <w:szCs w:val="21"/>
                    </w:rPr>
                    <w:t>0.166-0.212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最大污染指数</w:t>
                  </w:r>
                </w:p>
              </w:tc>
              <w:tc>
                <w:tcPr>
                  <w:tcW w:w="1357" w:type="dxa"/>
                  <w:vAlign w:val="center"/>
                </w:tcPr>
                <w:p>
                  <w:pPr>
                    <w:spacing w:line="320" w:lineRule="exact"/>
                    <w:jc w:val="center"/>
                    <w:rPr>
                      <w:szCs w:val="21"/>
                    </w:rPr>
                  </w:pPr>
                  <w:r>
                    <w:rPr>
                      <w:szCs w:val="21"/>
                    </w:rPr>
                    <w:t>0.185</w:t>
                  </w:r>
                </w:p>
              </w:tc>
              <w:tc>
                <w:tcPr>
                  <w:tcW w:w="1386" w:type="dxa"/>
                  <w:vAlign w:val="center"/>
                </w:tcPr>
                <w:p>
                  <w:pPr>
                    <w:spacing w:line="320" w:lineRule="exact"/>
                    <w:jc w:val="center"/>
                    <w:rPr>
                      <w:szCs w:val="21"/>
                    </w:rPr>
                  </w:pPr>
                  <w:r>
                    <w:rPr>
                      <w:szCs w:val="21"/>
                    </w:rPr>
                    <w:t>0.37</w:t>
                  </w:r>
                </w:p>
              </w:tc>
              <w:tc>
                <w:tcPr>
                  <w:tcW w:w="1298" w:type="dxa"/>
                  <w:vAlign w:val="center"/>
                </w:tcPr>
                <w:p>
                  <w:pPr>
                    <w:spacing w:line="320" w:lineRule="exact"/>
                    <w:jc w:val="center"/>
                    <w:rPr>
                      <w:szCs w:val="21"/>
                    </w:rPr>
                  </w:pPr>
                  <w:r>
                    <w:rPr>
                      <w:szCs w:val="21"/>
                    </w:rPr>
                    <w:t>0.187</w:t>
                  </w:r>
                </w:p>
              </w:tc>
              <w:tc>
                <w:tcPr>
                  <w:tcW w:w="1411" w:type="dxa"/>
                  <w:vAlign w:val="center"/>
                </w:tcPr>
                <w:p>
                  <w:pPr>
                    <w:spacing w:line="320" w:lineRule="exact"/>
                    <w:jc w:val="center"/>
                    <w:rPr>
                      <w:szCs w:val="21"/>
                    </w:rPr>
                  </w:pPr>
                  <w:r>
                    <w:rPr>
                      <w:szCs w:val="21"/>
                    </w:rPr>
                    <w:t>0.707</w:t>
                  </w:r>
                </w:p>
                <w:p>
                  <w:pPr>
                    <w:pStyle w:val="4"/>
                  </w:pPr>
                  <w:r>
                    <w:t>80</w:t>
                  </w:r>
                </w:p>
                <w:p>
                  <w:pPr>
                    <w:pStyle w:val="4"/>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超标率％</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最大超标倍数</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restart"/>
                  <w:vAlign w:val="center"/>
                </w:tcPr>
                <w:p>
                  <w:pPr>
                    <w:spacing w:line="320" w:lineRule="exact"/>
                    <w:jc w:val="center"/>
                    <w:rPr>
                      <w:szCs w:val="21"/>
                    </w:rPr>
                  </w:pPr>
                  <w:r>
                    <w:rPr>
                      <w:szCs w:val="21"/>
                    </w:rPr>
                    <w:t>W2</w:t>
                  </w:r>
                </w:p>
              </w:tc>
              <w:tc>
                <w:tcPr>
                  <w:tcW w:w="1938" w:type="dxa"/>
                  <w:vAlign w:val="center"/>
                </w:tcPr>
                <w:p>
                  <w:pPr>
                    <w:spacing w:line="320" w:lineRule="exact"/>
                    <w:jc w:val="center"/>
                    <w:rPr>
                      <w:szCs w:val="21"/>
                    </w:rPr>
                  </w:pPr>
                  <w:r>
                    <w:rPr>
                      <w:szCs w:val="21"/>
                    </w:rPr>
                    <w:t>浓度范围mg/L</w:t>
                  </w:r>
                </w:p>
              </w:tc>
              <w:tc>
                <w:tcPr>
                  <w:tcW w:w="1357" w:type="dxa"/>
                  <w:vAlign w:val="center"/>
                </w:tcPr>
                <w:p>
                  <w:pPr>
                    <w:jc w:val="center"/>
                    <w:rPr>
                      <w:szCs w:val="21"/>
                    </w:rPr>
                  </w:pPr>
                  <w:r>
                    <w:rPr>
                      <w:szCs w:val="21"/>
                    </w:rPr>
                    <w:t>6.99-7.05</w:t>
                  </w:r>
                </w:p>
              </w:tc>
              <w:tc>
                <w:tcPr>
                  <w:tcW w:w="1386" w:type="dxa"/>
                  <w:vAlign w:val="center"/>
                </w:tcPr>
                <w:p>
                  <w:pPr>
                    <w:jc w:val="center"/>
                    <w:rPr>
                      <w:szCs w:val="21"/>
                    </w:rPr>
                  </w:pPr>
                  <w:r>
                    <w:rPr>
                      <w:szCs w:val="21"/>
                    </w:rPr>
                    <w:t>21-28</w:t>
                  </w:r>
                </w:p>
              </w:tc>
              <w:tc>
                <w:tcPr>
                  <w:tcW w:w="1298" w:type="dxa"/>
                  <w:vAlign w:val="center"/>
                </w:tcPr>
                <w:p>
                  <w:pPr>
                    <w:jc w:val="center"/>
                    <w:rPr>
                      <w:szCs w:val="21"/>
                    </w:rPr>
                  </w:pPr>
                  <w:r>
                    <w:rPr>
                      <w:szCs w:val="21"/>
                    </w:rPr>
                    <w:t>0.295-0.316</w:t>
                  </w:r>
                </w:p>
              </w:tc>
              <w:tc>
                <w:tcPr>
                  <w:tcW w:w="1411" w:type="dxa"/>
                  <w:vAlign w:val="center"/>
                </w:tcPr>
                <w:p>
                  <w:pPr>
                    <w:jc w:val="center"/>
                    <w:rPr>
                      <w:szCs w:val="21"/>
                    </w:rPr>
                  </w:pPr>
                  <w:r>
                    <w:rPr>
                      <w:szCs w:val="21"/>
                    </w:rPr>
                    <w:t>0.236-0.284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最大污染指数</w:t>
                  </w:r>
                </w:p>
              </w:tc>
              <w:tc>
                <w:tcPr>
                  <w:tcW w:w="1357" w:type="dxa"/>
                  <w:vAlign w:val="center"/>
                </w:tcPr>
                <w:p>
                  <w:pPr>
                    <w:spacing w:line="320" w:lineRule="exact"/>
                    <w:jc w:val="center"/>
                    <w:rPr>
                      <w:szCs w:val="21"/>
                    </w:rPr>
                  </w:pPr>
                  <w:r>
                    <w:rPr>
                      <w:szCs w:val="21"/>
                    </w:rPr>
                    <w:t>0.03</w:t>
                  </w:r>
                </w:p>
              </w:tc>
              <w:tc>
                <w:tcPr>
                  <w:tcW w:w="1386" w:type="dxa"/>
                  <w:vAlign w:val="center"/>
                </w:tcPr>
                <w:p>
                  <w:pPr>
                    <w:spacing w:line="320" w:lineRule="exact"/>
                    <w:jc w:val="center"/>
                    <w:rPr>
                      <w:szCs w:val="21"/>
                    </w:rPr>
                  </w:pPr>
                  <w:r>
                    <w:rPr>
                      <w:szCs w:val="21"/>
                    </w:rPr>
                    <w:t>0.93</w:t>
                  </w:r>
                </w:p>
              </w:tc>
              <w:tc>
                <w:tcPr>
                  <w:tcW w:w="1298" w:type="dxa"/>
                  <w:vAlign w:val="center"/>
                </w:tcPr>
                <w:p>
                  <w:pPr>
                    <w:spacing w:line="320" w:lineRule="exact"/>
                    <w:jc w:val="center"/>
                    <w:rPr>
                      <w:szCs w:val="21"/>
                    </w:rPr>
                  </w:pPr>
                  <w:r>
                    <w:rPr>
                      <w:szCs w:val="21"/>
                    </w:rPr>
                    <w:t>0.211</w:t>
                  </w:r>
                </w:p>
              </w:tc>
              <w:tc>
                <w:tcPr>
                  <w:tcW w:w="1411" w:type="dxa"/>
                  <w:vAlign w:val="center"/>
                </w:tcPr>
                <w:p>
                  <w:pPr>
                    <w:spacing w:line="320" w:lineRule="exact"/>
                    <w:jc w:val="center"/>
                    <w:rPr>
                      <w:szCs w:val="21"/>
                    </w:rPr>
                  </w:pPr>
                  <w:r>
                    <w:rPr>
                      <w:szCs w:val="21"/>
                    </w:rPr>
                    <w:t>0.947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超标率％</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cr/>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最大超标倍数</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860" w:type="dxa"/>
                  <w:gridSpan w:val="2"/>
                  <w:vAlign w:val="center"/>
                </w:tcPr>
                <w:p>
                  <w:pPr>
                    <w:spacing w:line="320" w:lineRule="exact"/>
                    <w:jc w:val="center"/>
                    <w:rPr>
                      <w:szCs w:val="21"/>
                    </w:rPr>
                  </w:pPr>
                  <w:r>
                    <w:rPr>
                      <w:szCs w:val="21"/>
                    </w:rPr>
                    <w:t>地表水</w:t>
                  </w:r>
                  <w:r>
                    <w:rPr>
                      <w:rFonts w:hint="eastAsia" w:ascii="宋体" w:hAnsi="宋体" w:cs="宋体"/>
                      <w:szCs w:val="21"/>
                    </w:rPr>
                    <w:t>Ⅳ</w:t>
                  </w:r>
                  <w:r>
                    <w:rPr>
                      <w:szCs w:val="21"/>
                    </w:rPr>
                    <w:t>类标准</w:t>
                  </w:r>
                </w:p>
              </w:tc>
              <w:tc>
                <w:tcPr>
                  <w:tcW w:w="1357" w:type="dxa"/>
                  <w:vAlign w:val="center"/>
                </w:tcPr>
                <w:p>
                  <w:pPr>
                    <w:spacing w:line="320" w:lineRule="exact"/>
                    <w:jc w:val="center"/>
                    <w:rPr>
                      <w:szCs w:val="21"/>
                    </w:rPr>
                  </w:pPr>
                  <w:r>
                    <w:rPr>
                      <w:szCs w:val="21"/>
                    </w:rPr>
                    <w:t>6～9</w:t>
                  </w:r>
                </w:p>
              </w:tc>
              <w:tc>
                <w:tcPr>
                  <w:tcW w:w="1386" w:type="dxa"/>
                  <w:vAlign w:val="center"/>
                </w:tcPr>
                <w:p>
                  <w:pPr>
                    <w:spacing w:line="320" w:lineRule="exact"/>
                    <w:jc w:val="center"/>
                    <w:rPr>
                      <w:szCs w:val="21"/>
                    </w:rPr>
                  </w:pPr>
                  <w:r>
                    <w:rPr>
                      <w:szCs w:val="21"/>
                    </w:rPr>
                    <w:t>30</w:t>
                  </w:r>
                </w:p>
              </w:tc>
              <w:tc>
                <w:tcPr>
                  <w:tcW w:w="1298" w:type="dxa"/>
                  <w:vAlign w:val="center"/>
                </w:tcPr>
                <w:p>
                  <w:pPr>
                    <w:spacing w:line="320" w:lineRule="exact"/>
                    <w:jc w:val="center"/>
                    <w:rPr>
                      <w:szCs w:val="21"/>
                    </w:rPr>
                  </w:pPr>
                  <w:r>
                    <w:rPr>
                      <w:szCs w:val="21"/>
                    </w:rPr>
                    <w:t>1.5</w:t>
                  </w:r>
                </w:p>
              </w:tc>
              <w:tc>
                <w:tcPr>
                  <w:tcW w:w="1411" w:type="dxa"/>
                  <w:vAlign w:val="center"/>
                </w:tcPr>
                <w:p>
                  <w:pPr>
                    <w:spacing w:line="320" w:lineRule="exact"/>
                    <w:jc w:val="center"/>
                    <w:rPr>
                      <w:szCs w:val="21"/>
                    </w:rPr>
                  </w:pPr>
                  <w:r>
                    <w:rPr>
                      <w:szCs w:val="21"/>
                    </w:rPr>
                    <w:t>0.3</w:t>
                  </w:r>
                </w:p>
              </w:tc>
            </w:tr>
          </w:tbl>
          <w:p>
            <w:pPr>
              <w:spacing w:line="480" w:lineRule="exact"/>
              <w:ind w:firstLine="480" w:firstLineChars="200"/>
              <w:rPr>
                <w:sz w:val="24"/>
                <w:szCs w:val="28"/>
              </w:rPr>
            </w:pPr>
            <w:r>
              <w:rPr>
                <w:sz w:val="24"/>
              </w:rPr>
              <w:t>由表3-</w:t>
            </w:r>
            <w:r>
              <w:rPr>
                <w:rFonts w:hint="eastAsia"/>
                <w:sz w:val="24"/>
              </w:rPr>
              <w:t>5</w:t>
            </w:r>
            <w:r>
              <w:rPr>
                <w:sz w:val="24"/>
              </w:rPr>
              <w:t>可知，地表水水质现状评价结果表明，</w:t>
            </w:r>
            <w:r>
              <w:rPr>
                <w:sz w:val="24"/>
                <w:szCs w:val="28"/>
              </w:rPr>
              <w:t>采菱港W1、W2断面的各监测项目均能达到《地表水环境质量标准》中</w:t>
            </w:r>
            <w:r>
              <w:rPr>
                <w:rFonts w:hint="eastAsia" w:ascii="宋体" w:hAnsi="宋体" w:cs="宋体"/>
                <w:sz w:val="24"/>
                <w:szCs w:val="28"/>
              </w:rPr>
              <w:t>Ⅳ</w:t>
            </w:r>
            <w:r>
              <w:rPr>
                <w:sz w:val="24"/>
                <w:szCs w:val="28"/>
              </w:rPr>
              <w:t>类地表水标准限值，</w:t>
            </w:r>
            <w:r>
              <w:rPr>
                <w:sz w:val="24"/>
              </w:rPr>
              <w:t>说明区域水环境质量较好</w:t>
            </w:r>
            <w:r>
              <w:rPr>
                <w:sz w:val="24"/>
                <w:szCs w:val="28"/>
              </w:rPr>
              <w:t>。</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3、声环境质量现状</w:t>
            </w:r>
          </w:p>
          <w:p>
            <w:pPr>
              <w:spacing w:line="360" w:lineRule="auto"/>
              <w:ind w:firstLine="480" w:firstLineChars="200"/>
              <w:rPr>
                <w:rFonts w:hint="default" w:ascii="Times New Roman" w:hAnsi="Times New Roman" w:eastAsia="宋体" w:cs="Times New Roman"/>
                <w:color w:val="auto"/>
                <w:sz w:val="24"/>
                <w:highlight w:val="yellow"/>
              </w:rPr>
            </w:pPr>
            <w:r>
              <w:rPr>
                <w:rFonts w:hint="default" w:ascii="Times New Roman" w:hAnsi="Times New Roman" w:eastAsia="宋体" w:cs="Times New Roman"/>
                <w:color w:val="auto"/>
                <w:sz w:val="24"/>
                <w:lang w:bidi="ar"/>
              </w:rPr>
              <w:t>为了解项目所在地声环境质量现状，委托</w:t>
            </w:r>
            <w:r>
              <w:rPr>
                <w:sz w:val="24"/>
              </w:rPr>
              <w:t>常州佳蓝环境检测有限公司</w:t>
            </w:r>
            <w:r>
              <w:rPr>
                <w:rFonts w:hint="default" w:ascii="Times New Roman" w:hAnsi="Times New Roman" w:eastAsia="宋体" w:cs="Times New Roman"/>
                <w:color w:val="auto"/>
                <w:sz w:val="24"/>
                <w:lang w:bidi="ar"/>
              </w:rPr>
              <w:t>于201</w:t>
            </w:r>
            <w:r>
              <w:rPr>
                <w:rFonts w:hint="eastAsia"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年</w:t>
            </w:r>
            <w:r>
              <w:rPr>
                <w:rFonts w:hint="eastAsia"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bidi="ar"/>
              </w:rPr>
              <w:t>月1</w:t>
            </w:r>
            <w:r>
              <w:rPr>
                <w:rFonts w:hint="eastAsia" w:ascii="Times New Roman" w:hAnsi="Times New Roman" w:eastAsia="宋体" w:cs="Times New Roman"/>
                <w:color w:val="auto"/>
                <w:sz w:val="24"/>
                <w:lang w:val="en-US" w:eastAsia="zh-CN" w:bidi="ar"/>
              </w:rPr>
              <w:t>6</w:t>
            </w:r>
            <w:r>
              <w:rPr>
                <w:rFonts w:hint="default" w:ascii="Times New Roman" w:hAnsi="Times New Roman" w:eastAsia="宋体" w:cs="Times New Roman"/>
                <w:color w:val="auto"/>
                <w:sz w:val="24"/>
                <w:lang w:bidi="ar"/>
              </w:rPr>
              <w:t>日-</w:t>
            </w:r>
            <w:r>
              <w:rPr>
                <w:rFonts w:hint="eastAsia"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bidi="ar"/>
              </w:rPr>
              <w:t>月1</w:t>
            </w:r>
            <w:r>
              <w:rPr>
                <w:rFonts w:hint="eastAsia"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日对项目厂界四周（监测点位见附件）进行的现场噪声监测，监测结果见表3-3。</w:t>
            </w:r>
          </w:p>
          <w:p>
            <w:pPr>
              <w:spacing w:line="360" w:lineRule="auto"/>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表3-3噪声现状监测结果统计表单位：dB（A）</w:t>
            </w:r>
          </w:p>
          <w:tbl>
            <w:tblPr>
              <w:tblStyle w:val="15"/>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863"/>
              <w:gridCol w:w="1511"/>
              <w:gridCol w:w="1512"/>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lang w:val="en-US" w:eastAsia="zh-CN"/>
                    </w:rPr>
                    <w:t>项目</w:t>
                  </w:r>
                </w:p>
              </w:tc>
              <w:tc>
                <w:tcPr>
                  <w:tcW w:w="151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N1（东厂界）</w:t>
                  </w:r>
                </w:p>
              </w:tc>
              <w:tc>
                <w:tcPr>
                  <w:tcW w:w="151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N2（南厂界）</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N3（西厂界）</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N4（北厂界）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62" w:type="dxa"/>
                  <w:vMerge w:val="restart"/>
                  <w:tcBorders>
                    <w:top w:val="single" w:color="auto" w:sz="4" w:space="0"/>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201</w:t>
                  </w:r>
                  <w:r>
                    <w:rPr>
                      <w:rFonts w:hint="eastAsia" w:cs="Times New Roman"/>
                      <w:color w:val="auto"/>
                      <w:lang w:val="en-US" w:eastAsia="zh-CN"/>
                    </w:rPr>
                    <w:t>9</w:t>
                  </w:r>
                  <w:r>
                    <w:rPr>
                      <w:rFonts w:hint="default" w:ascii="Times New Roman" w:hAnsi="Times New Roman" w:cs="Times New Roman"/>
                      <w:color w:val="auto"/>
                    </w:rPr>
                    <w:t>年</w:t>
                  </w:r>
                  <w:r>
                    <w:rPr>
                      <w:rFonts w:hint="eastAsia" w:cs="Times New Roman"/>
                      <w:color w:val="auto"/>
                      <w:lang w:val="en-US" w:eastAsia="zh-CN"/>
                    </w:rPr>
                    <w:t>5</w:t>
                  </w:r>
                  <w:r>
                    <w:rPr>
                      <w:rFonts w:hint="default" w:ascii="Times New Roman" w:hAnsi="Times New Roman" w:cs="Times New Roman"/>
                      <w:color w:val="auto"/>
                    </w:rPr>
                    <w:t>月</w:t>
                  </w:r>
                  <w:r>
                    <w:rPr>
                      <w:rFonts w:hint="default" w:ascii="Times New Roman" w:hAnsi="Times New Roman" w:cs="Times New Roman"/>
                      <w:color w:val="auto"/>
                      <w:lang w:val="en-US" w:eastAsia="zh-CN"/>
                    </w:rPr>
                    <w:t>1</w:t>
                  </w:r>
                  <w:r>
                    <w:rPr>
                      <w:rFonts w:hint="eastAsia" w:cs="Times New Roman"/>
                      <w:color w:val="auto"/>
                      <w:lang w:val="en-US" w:eastAsia="zh-CN"/>
                    </w:rPr>
                    <w:t>6</w:t>
                  </w:r>
                  <w:r>
                    <w:rPr>
                      <w:rFonts w:hint="default" w:ascii="Times New Roman" w:hAnsi="Times New Roman" w:cs="Times New Roman"/>
                      <w:color w:val="auto"/>
                      <w:lang w:val="en-US" w:eastAsia="zh-CN"/>
                    </w:rPr>
                    <w:t>日</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昼间</w:t>
                  </w:r>
                </w:p>
              </w:tc>
              <w:tc>
                <w:tcPr>
                  <w:tcW w:w="151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52.2</w:t>
                  </w:r>
                </w:p>
              </w:tc>
              <w:tc>
                <w:tcPr>
                  <w:tcW w:w="151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54.2</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55.1</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62"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夜间</w:t>
                  </w:r>
                </w:p>
              </w:tc>
              <w:tc>
                <w:tcPr>
                  <w:tcW w:w="151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47.3</w:t>
                  </w:r>
                </w:p>
              </w:tc>
              <w:tc>
                <w:tcPr>
                  <w:tcW w:w="151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49.2</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49.4</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62" w:type="dxa"/>
                  <w:vMerge w:val="restart"/>
                  <w:tcBorders>
                    <w:top w:val="single" w:color="auto" w:sz="4" w:space="0"/>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201</w:t>
                  </w:r>
                  <w:r>
                    <w:rPr>
                      <w:rFonts w:hint="eastAsia" w:cs="Times New Roman"/>
                      <w:color w:val="auto"/>
                      <w:lang w:val="en-US" w:eastAsia="zh-CN"/>
                    </w:rPr>
                    <w:t>9</w:t>
                  </w:r>
                  <w:r>
                    <w:rPr>
                      <w:rFonts w:hint="default" w:ascii="Times New Roman" w:hAnsi="Times New Roman" w:cs="Times New Roman"/>
                      <w:color w:val="auto"/>
                    </w:rPr>
                    <w:t>年</w:t>
                  </w:r>
                  <w:r>
                    <w:rPr>
                      <w:rFonts w:hint="eastAsia" w:cs="Times New Roman"/>
                      <w:color w:val="auto"/>
                      <w:lang w:val="en-US" w:eastAsia="zh-CN"/>
                    </w:rPr>
                    <w:t>5</w:t>
                  </w:r>
                  <w:r>
                    <w:rPr>
                      <w:rFonts w:hint="default" w:ascii="Times New Roman" w:hAnsi="Times New Roman" w:cs="Times New Roman"/>
                      <w:color w:val="auto"/>
                    </w:rPr>
                    <w:t>月</w:t>
                  </w:r>
                  <w:r>
                    <w:rPr>
                      <w:rFonts w:hint="default" w:ascii="Times New Roman" w:hAnsi="Times New Roman" w:cs="Times New Roman"/>
                      <w:color w:val="auto"/>
                      <w:lang w:val="en-US" w:eastAsia="zh-CN"/>
                    </w:rPr>
                    <w:t>1</w:t>
                  </w:r>
                  <w:r>
                    <w:rPr>
                      <w:rFonts w:hint="eastAsia" w:cs="Times New Roman"/>
                      <w:color w:val="auto"/>
                      <w:lang w:val="en-US" w:eastAsia="zh-CN"/>
                    </w:rPr>
                    <w:t>7</w:t>
                  </w:r>
                  <w:r>
                    <w:rPr>
                      <w:rFonts w:hint="default" w:ascii="Times New Roman" w:hAnsi="Times New Roman" w:cs="Times New Roman"/>
                      <w:color w:val="auto"/>
                      <w:lang w:val="en-US" w:eastAsia="zh-CN"/>
                    </w:rPr>
                    <w:t>日</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昼间</w:t>
                  </w:r>
                </w:p>
              </w:tc>
              <w:tc>
                <w:tcPr>
                  <w:tcW w:w="151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52.2</w:t>
                  </w:r>
                </w:p>
              </w:tc>
              <w:tc>
                <w:tcPr>
                  <w:tcW w:w="151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54.2</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55.2</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62"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夜间</w:t>
                  </w:r>
                </w:p>
              </w:tc>
              <w:tc>
                <w:tcPr>
                  <w:tcW w:w="151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47.1</w:t>
                  </w:r>
                </w:p>
              </w:tc>
              <w:tc>
                <w:tcPr>
                  <w:tcW w:w="151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49.2</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49.2</w:t>
                  </w:r>
                </w:p>
              </w:tc>
              <w:tc>
                <w:tcPr>
                  <w:tcW w:w="166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50.4</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监测结果表明，项目所在地经东、南、西、北厂界噪声均符合《声环境质量标准》（GB3096-2008）中的</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6" w:space="0"/>
              <w:left w:val="single" w:color="auto" w:sz="12" w:space="0"/>
              <w:bottom w:val="single" w:color="auto" w:sz="12" w:space="0"/>
              <w:right w:val="single" w:color="auto" w:sz="12" w:space="0"/>
            </w:tcBorders>
            <w:shd w:val="clear" w:color="auto" w:fill="auto"/>
          </w:tcPr>
          <w:p>
            <w:pPr>
              <w:spacing w:after="62" w:afterLines="20"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主要环境保护目标（列出名单及保护级别）：</w:t>
            </w:r>
          </w:p>
          <w:p>
            <w:pPr>
              <w:spacing w:line="360" w:lineRule="auto"/>
              <w:ind w:firstLine="480" w:firstLineChars="200"/>
              <w:rPr>
                <w:rFonts w:hint="default" w:ascii="Times New Roman" w:hAnsi="Times New Roman" w:eastAsia="宋体" w:cs="Times New Roman"/>
                <w:b/>
                <w:color w:val="auto"/>
                <w:sz w:val="24"/>
              </w:rPr>
            </w:pPr>
            <w:r>
              <w:rPr>
                <w:rFonts w:hint="default" w:ascii="Times New Roman" w:hAnsi="Times New Roman" w:eastAsia="宋体" w:cs="Times New Roman"/>
                <w:color w:val="auto"/>
                <w:sz w:val="24"/>
                <w:lang w:bidi="ar"/>
              </w:rPr>
              <w:t>根据现场踏勘，</w:t>
            </w:r>
            <w:r>
              <w:rPr>
                <w:rFonts w:hint="default" w:ascii="Times New Roman" w:hAnsi="Times New Roman" w:eastAsia="宋体" w:cs="Times New Roman"/>
                <w:color w:val="auto"/>
                <w:sz w:val="24"/>
                <w:lang w:val="en-US" w:eastAsia="zh-CN" w:bidi="ar"/>
              </w:rPr>
              <w:t>主要</w:t>
            </w:r>
            <w:r>
              <w:rPr>
                <w:rFonts w:hint="default" w:ascii="Times New Roman" w:hAnsi="Times New Roman" w:eastAsia="宋体" w:cs="Times New Roman"/>
                <w:color w:val="auto"/>
                <w:sz w:val="24"/>
                <w:lang w:bidi="ar"/>
              </w:rPr>
              <w:t>环境保护目标见表3-</w:t>
            </w:r>
            <w:r>
              <w:rPr>
                <w:rFonts w:hint="default" w:ascii="Times New Roman" w:hAnsi="Times New Roman" w:eastAsia="宋体" w:cs="Times New Roman"/>
                <w:color w:val="auto"/>
                <w:sz w:val="24"/>
                <w:lang w:val="en-US" w:eastAsia="zh-CN" w:bidi="ar"/>
              </w:rPr>
              <w:t>4</w:t>
            </w:r>
            <w:r>
              <w:rPr>
                <w:rFonts w:hint="default" w:ascii="Times New Roman" w:hAnsi="Times New Roman" w:eastAsia="宋体" w:cs="Times New Roman"/>
                <w:color w:val="auto"/>
                <w:sz w:val="24"/>
                <w:lang w:bidi="ar"/>
              </w:rPr>
              <w:t>。附图</w:t>
            </w:r>
            <w:r>
              <w:rPr>
                <w:rFonts w:hint="default" w:ascii="Times New Roman" w:hAnsi="Times New Roman" w:eastAsia="宋体" w:cs="Times New Roman"/>
                <w:color w:val="auto"/>
                <w:sz w:val="24"/>
                <w:lang w:val="en-US" w:eastAsia="zh-CN" w:bidi="ar"/>
              </w:rPr>
              <w:t>2</w:t>
            </w:r>
            <w:r>
              <w:rPr>
                <w:rFonts w:hint="default" w:ascii="Times New Roman" w:hAnsi="Times New Roman" w:eastAsia="宋体" w:cs="Times New Roman"/>
                <w:color w:val="auto"/>
                <w:sz w:val="24"/>
                <w:lang w:bidi="ar"/>
              </w:rPr>
              <w:t>。</w:t>
            </w:r>
          </w:p>
          <w:p>
            <w:pPr>
              <w:spacing w:line="360" w:lineRule="auto"/>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表3-</w:t>
            </w:r>
            <w:r>
              <w:rPr>
                <w:rFonts w:hint="default" w:ascii="Times New Roman" w:hAnsi="Times New Roman" w:eastAsia="宋体" w:cs="Times New Roman"/>
                <w:b/>
                <w:color w:val="auto"/>
                <w:sz w:val="24"/>
                <w:lang w:val="en-US" w:eastAsia="zh-CN" w:bidi="ar"/>
              </w:rPr>
              <w:t>4</w:t>
            </w:r>
            <w:r>
              <w:rPr>
                <w:rFonts w:hint="default" w:ascii="Times New Roman" w:hAnsi="Times New Roman" w:eastAsia="宋体" w:cs="Times New Roman"/>
                <w:b/>
                <w:color w:val="auto"/>
                <w:sz w:val="24"/>
                <w:lang w:bidi="ar"/>
              </w:rPr>
              <w:t>主要环境保护目标</w:t>
            </w:r>
          </w:p>
          <w:tbl>
            <w:tblPr>
              <w:tblStyle w:val="15"/>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97"/>
              <w:gridCol w:w="846"/>
              <w:gridCol w:w="1146"/>
              <w:gridCol w:w="961"/>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b/>
                      <w:color w:val="auto"/>
                    </w:rPr>
                  </w:pPr>
                  <w:r>
                    <w:rPr>
                      <w:rFonts w:hint="default" w:ascii="Times New Roman" w:hAnsi="Times New Roman" w:cs="Times New Roman"/>
                      <w:b/>
                      <w:color w:val="auto"/>
                    </w:rPr>
                    <w:t>环境要素</w:t>
                  </w: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b/>
                      <w:color w:val="auto"/>
                    </w:rPr>
                  </w:pPr>
                  <w:r>
                    <w:rPr>
                      <w:rFonts w:hint="default" w:ascii="Times New Roman" w:hAnsi="Times New Roman" w:cs="Times New Roman"/>
                      <w:b/>
                      <w:color w:val="auto"/>
                    </w:rPr>
                    <w:t>环境保护目标</w:t>
                  </w:r>
                </w:p>
              </w:tc>
              <w:tc>
                <w:tcPr>
                  <w:tcW w:w="846"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b/>
                      <w:color w:val="auto"/>
                    </w:rPr>
                  </w:pPr>
                  <w:r>
                    <w:rPr>
                      <w:rFonts w:hint="default" w:ascii="Times New Roman" w:hAnsi="Times New Roman" w:cs="Times New Roman"/>
                      <w:b/>
                      <w:color w:val="auto"/>
                    </w:rPr>
                    <w:t>方位</w:t>
                  </w:r>
                </w:p>
              </w:tc>
              <w:tc>
                <w:tcPr>
                  <w:tcW w:w="1146"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b/>
                      <w:color w:val="auto"/>
                    </w:rPr>
                  </w:pPr>
                  <w:r>
                    <w:rPr>
                      <w:rFonts w:hint="default" w:ascii="Times New Roman" w:hAnsi="Times New Roman" w:cs="Times New Roman"/>
                      <w:b/>
                      <w:color w:val="auto"/>
                    </w:rPr>
                    <w:t>距项目最近距离（m）</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b/>
                      <w:color w:val="auto"/>
                    </w:rPr>
                  </w:pPr>
                  <w:r>
                    <w:rPr>
                      <w:rFonts w:hint="default" w:ascii="Times New Roman" w:hAnsi="Times New Roman" w:cs="Times New Roman"/>
                      <w:b/>
                      <w:color w:val="auto"/>
                    </w:rPr>
                    <w:t>规模（人）</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b/>
                      <w:color w:val="auto"/>
                    </w:rPr>
                  </w:pPr>
                  <w:r>
                    <w:rPr>
                      <w:rFonts w:hint="default" w:ascii="Times New Roman" w:hAnsi="Times New Roman" w:cs="Times New Roman"/>
                      <w:b/>
                      <w:color w:val="auto"/>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rPr>
                      <w:rFonts w:hint="default" w:ascii="Times New Roman" w:hAnsi="Times New Roman" w:eastAsia="宋体" w:cs="Times New Roman"/>
                      <w:color w:val="auto"/>
                      <w:szCs w:val="21"/>
                      <w:highlight w:val="yellow"/>
                    </w:rPr>
                  </w:pPr>
                  <w:r>
                    <w:rPr>
                      <w:rFonts w:hint="default" w:ascii="Times New Roman" w:hAnsi="Times New Roman" w:eastAsia="宋体" w:cs="Times New Roman"/>
                      <w:color w:val="auto"/>
                      <w:szCs w:val="21"/>
                      <w:lang w:bidi="ar"/>
                    </w:rPr>
                    <w:t>水环境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采菱港</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E</w:t>
                  </w:r>
                </w:p>
              </w:tc>
              <w:tc>
                <w:tcPr>
                  <w:tcW w:w="11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13000</w:t>
                  </w:r>
                </w:p>
              </w:tc>
              <w:tc>
                <w:tcPr>
                  <w:tcW w:w="96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highlight w:val="yellow"/>
                      <w:lang w:eastAsia="zh-CN"/>
                    </w:rPr>
                  </w:pPr>
                  <w:r>
                    <w:rPr>
                      <w:rFonts w:hint="default" w:ascii="Times New Roman" w:hAnsi="Times New Roman" w:eastAsia="宋体" w:cs="Times New Roman"/>
                      <w:color w:val="auto"/>
                      <w:szCs w:val="21"/>
                      <w:lang w:val="en-US" w:eastAsia="zh-CN" w:bidi="ar"/>
                    </w:rPr>
                    <w:t>小河</w:t>
                  </w:r>
                </w:p>
              </w:tc>
              <w:tc>
                <w:tcPr>
                  <w:tcW w:w="2688" w:type="dxa"/>
                  <w:tcBorders>
                    <w:top w:val="nil"/>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highlight w:val="yellow"/>
                    </w:rPr>
                  </w:pPr>
                  <w:r>
                    <w:rPr>
                      <w:rFonts w:hint="default" w:ascii="Times New Roman" w:hAnsi="Times New Roman" w:cs="Times New Roman"/>
                      <w:color w:val="auto"/>
                    </w:rPr>
                    <w:t>《地表水环境质量标准》（GB3838-2002）Ⅳ类水质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Times New Roman" w:hAnsi="Times New Roman" w:cs="Times New Roman"/>
                      <w:color w:val="auto"/>
                      <w:sz w:val="20"/>
                      <w:szCs w:val="20"/>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滆湖</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S</w:t>
                  </w:r>
                </w:p>
              </w:tc>
              <w:tc>
                <w:tcPr>
                  <w:tcW w:w="11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4000</w:t>
                  </w:r>
                </w:p>
              </w:tc>
              <w:tc>
                <w:tcPr>
                  <w:tcW w:w="96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highlight w:val="yellow"/>
                      <w:lang w:eastAsia="zh-CN"/>
                    </w:rPr>
                  </w:pPr>
                  <w:r>
                    <w:rPr>
                      <w:rFonts w:hint="default" w:ascii="Times New Roman" w:hAnsi="Times New Roman" w:eastAsia="宋体" w:cs="Times New Roman"/>
                      <w:color w:val="auto"/>
                      <w:szCs w:val="21"/>
                      <w:lang w:val="en-US" w:eastAsia="zh-CN" w:bidi="ar"/>
                    </w:rPr>
                    <w:t>大湖</w:t>
                  </w:r>
                </w:p>
              </w:tc>
              <w:tc>
                <w:tcPr>
                  <w:tcW w:w="2688" w:type="dxa"/>
                  <w:tcBorders>
                    <w:top w:val="nil"/>
                    <w:left w:val="nil"/>
                    <w:bottom w:val="single" w:color="auto" w:sz="4" w:space="0"/>
                    <w:right w:val="single" w:color="auto" w:sz="4" w:space="0"/>
                  </w:tcBorders>
                  <w:shd w:val="clear" w:color="auto" w:fill="auto"/>
                  <w:vAlign w:val="center"/>
                </w:tcPr>
                <w:p>
                  <w:pP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rPr>
                    <w:t>《地表水环境质量标准》（GB3838-2002）</w:t>
                  </w:r>
                  <w:r>
                    <w:rPr>
                      <w:rFonts w:hint="default" w:ascii="Times New Roman" w:hAnsi="Times New Roman" w:eastAsia="宋体" w:cs="Times New Roman"/>
                      <w:color w:val="auto"/>
                    </w:rPr>
                    <w:t>Ⅲ</w:t>
                  </w:r>
                  <w:r>
                    <w:rPr>
                      <w:rFonts w:hint="default" w:ascii="Times New Roman" w:hAnsi="Times New Roman" w:cs="Times New Roman"/>
                      <w:color w:val="auto"/>
                    </w:rPr>
                    <w:t>类水质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rPr>
                  </w:pPr>
                  <w:r>
                    <w:rPr>
                      <w:rFonts w:hint="default" w:ascii="Times New Roman" w:hAnsi="Times New Roman" w:cs="Times New Roman"/>
                      <w:color w:val="auto"/>
                    </w:rPr>
                    <w:t>大气环境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武进经济开发区职工宿舍</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1500</w:t>
                  </w:r>
                </w:p>
              </w:tc>
              <w:tc>
                <w:tcPr>
                  <w:tcW w:w="2688" w:type="dxa"/>
                  <w:tcBorders>
                    <w:top w:val="nil"/>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rPr>
                  </w:pPr>
                  <w:r>
                    <w:rPr>
                      <w:rFonts w:hint="default" w:ascii="Times New Roman" w:hAnsi="Times New Roman" w:cs="Times New Roman"/>
                      <w:color w:val="auto"/>
                    </w:rPr>
                    <w:t>《环境空气质量标准》(GB3095-2012)</w:t>
                  </w:r>
                </w:p>
                <w:p>
                  <w:pPr>
                    <w:pStyle w:val="23"/>
                    <w:widowControl/>
                    <w:spacing w:line="240" w:lineRule="auto"/>
                    <w:rPr>
                      <w:rFonts w:hint="default" w:ascii="Times New Roman" w:hAnsi="Times New Roman" w:cs="Times New Roman"/>
                      <w:color w:val="auto"/>
                      <w:highlight w:val="yellow"/>
                    </w:rPr>
                  </w:pPr>
                  <w:r>
                    <w:rPr>
                      <w:rFonts w:hint="default" w:ascii="Times New Roman" w:hAnsi="Times New Roman" w:cs="Times New Roman"/>
                      <w:color w:val="auto"/>
                    </w:rPr>
                    <w:t>表1 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rPr>
                  </w:pPr>
                  <w:r>
                    <w:rPr>
                      <w:rFonts w:hint="default" w:ascii="Times New Roman" w:hAnsi="Times New Roman" w:cs="Times New Roman"/>
                      <w:color w:val="auto"/>
                    </w:rPr>
                    <w:t>声环境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szCs w:val="21"/>
                      <w:lang w:val="en-US" w:eastAsia="zh-CN"/>
                    </w:rPr>
                    <w:t>武进经济开发区职工宿舍</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W</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200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1500</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highlight w:val="yellow"/>
                    </w:rPr>
                  </w:pPr>
                  <w:r>
                    <w:rPr>
                      <w:rFonts w:hint="default" w:ascii="Times New Roman" w:hAnsi="Times New Roman" w:cs="Times New Roman"/>
                      <w:color w:val="auto"/>
                    </w:rPr>
                    <w:t>《声环境噪声标准》（GB3096-2008）2类标准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rPr>
                  </w:pPr>
                  <w:r>
                    <w:rPr>
                      <w:rFonts w:hint="default" w:ascii="Times New Roman" w:hAnsi="Times New Roman" w:cs="Times New Roman"/>
                      <w:color w:val="auto"/>
                    </w:rPr>
                    <w:t>生态环境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lang w:val="en-US" w:eastAsia="zh-CN"/>
                    </w:rPr>
                  </w:pPr>
                  <w:r>
                    <w:rPr>
                      <w:rFonts w:hint="eastAsia"/>
                      <w:color w:val="auto"/>
                      <w:lang w:val="en-US" w:eastAsia="zh-CN"/>
                    </w:rPr>
                    <w:t>滆湖（武进区）重要湿地</w:t>
                  </w:r>
                </w:p>
              </w:tc>
              <w:tc>
                <w:tcPr>
                  <w:tcW w:w="8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Cs w:val="21"/>
                      <w:lang w:val="en-US" w:eastAsia="zh-CN"/>
                    </w:rPr>
                    <w:t>S</w:t>
                  </w:r>
                </w:p>
              </w:tc>
              <w:tc>
                <w:tcPr>
                  <w:tcW w:w="11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eastAsia="宋体" w:cs="Times New Roman"/>
                      <w:color w:val="auto"/>
                      <w:szCs w:val="21"/>
                      <w:lang w:val="en-US" w:eastAsia="zh-CN"/>
                    </w:rPr>
                    <w:t>000</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rPr>
                  </w:pPr>
                  <w:r>
                    <w:rPr>
                      <w:rFonts w:hint="eastAsia"/>
                      <w:color w:val="auto"/>
                      <w:lang w:val="en-US" w:eastAsia="zh-CN"/>
                    </w:rPr>
                    <w:t>2.1</w:t>
                  </w:r>
                  <w:r>
                    <w:rPr>
                      <w:color w:val="auto"/>
                    </w:rPr>
                    <w:t>km</w:t>
                  </w:r>
                  <w:r>
                    <w:rPr>
                      <w:color w:val="auto"/>
                      <w:vertAlign w:val="superscript"/>
                    </w:rPr>
                    <w:t>2</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lang w:val="en-US" w:eastAsia="zh-CN"/>
                    </w:rPr>
                  </w:pPr>
                  <w:r>
                    <w:rPr>
                      <w:szCs w:val="21"/>
                    </w:rPr>
                    <w:t>湿地生态系统保护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Times New Roman" w:hAnsi="Times New Roman" w:cs="Times New Roman"/>
                      <w:color w:val="auto"/>
                      <w:sz w:val="20"/>
                      <w:szCs w:val="20"/>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lang w:val="en-US" w:eastAsia="zh-CN"/>
                    </w:rPr>
                  </w:pPr>
                  <w:r>
                    <w:rPr>
                      <w:rFonts w:hint="eastAsia"/>
                      <w:color w:val="auto"/>
                      <w:lang w:val="en-US" w:eastAsia="zh-CN"/>
                    </w:rPr>
                    <w:t>滆湖饮用水水源保护区</w:t>
                  </w:r>
                </w:p>
              </w:tc>
              <w:tc>
                <w:tcPr>
                  <w:tcW w:w="8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cs="Times New Roman"/>
                      <w:color w:val="auto"/>
                    </w:rPr>
                  </w:pPr>
                  <w:r>
                    <w:rPr>
                      <w:rFonts w:hint="eastAsia" w:ascii="Times New Roman" w:hAnsi="Times New Roman" w:eastAsia="宋体" w:cs="Times New Roman"/>
                      <w:color w:val="auto"/>
                      <w:szCs w:val="21"/>
                      <w:lang w:val="en-US" w:eastAsia="zh-CN"/>
                    </w:rPr>
                    <w:t>S</w:t>
                  </w:r>
                </w:p>
              </w:tc>
              <w:tc>
                <w:tcPr>
                  <w:tcW w:w="11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Cs w:val="21"/>
                      <w:lang w:val="en-US" w:eastAsia="zh-CN"/>
                    </w:rPr>
                    <w:t>5000</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rPr>
                  </w:pPr>
                  <w:r>
                    <w:rPr>
                      <w:rFonts w:hint="eastAsia"/>
                      <w:color w:val="auto"/>
                      <w:lang w:val="en-US" w:eastAsia="zh-CN"/>
                    </w:rPr>
                    <w:t>24.</w:t>
                  </w:r>
                  <w:r>
                    <w:rPr>
                      <w:color w:val="auto"/>
                    </w:rPr>
                    <w:t>4km</w:t>
                  </w:r>
                  <w:r>
                    <w:rPr>
                      <w:color w:val="auto"/>
                      <w:vertAlign w:val="superscript"/>
                    </w:rPr>
                    <w:t>2</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lang w:val="en-US" w:eastAsia="zh-CN"/>
                    </w:rPr>
                  </w:pPr>
                  <w:r>
                    <w:rPr>
                      <w:rFonts w:hint="eastAsia"/>
                      <w:color w:val="auto"/>
                      <w:lang w:val="en-US" w:eastAsia="zh-CN"/>
                    </w:rPr>
                    <w:t>水源水质保护</w:t>
                  </w:r>
                </w:p>
              </w:tc>
            </w:tr>
          </w:tbl>
          <w:p>
            <w:pPr>
              <w:spacing w:line="360" w:lineRule="auto"/>
              <w:rPr>
                <w:rFonts w:hint="default" w:ascii="Times New Roman" w:hAnsi="Times New Roman" w:eastAsia="宋体" w:cs="Times New Roman"/>
                <w:color w:val="auto"/>
                <w:sz w:val="24"/>
              </w:rPr>
            </w:pPr>
          </w:p>
        </w:tc>
      </w:tr>
    </w:tbl>
    <w:p>
      <w:pPr>
        <w:rPr>
          <w:rFonts w:hint="default"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评价适用标准</w:t>
      </w:r>
    </w:p>
    <w:tbl>
      <w:tblPr>
        <w:tblStyle w:val="15"/>
        <w:tblW w:w="84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80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457" w:type="dxa"/>
            <w:tcBorders>
              <w:top w:val="single" w:color="auto" w:sz="12" w:space="0"/>
              <w:left w:val="single" w:color="auto" w:sz="12" w:space="0"/>
              <w:bottom w:val="single" w:color="auto" w:sz="6" w:space="0"/>
              <w:right w:val="single" w:color="auto" w:sz="6" w:space="0"/>
            </w:tcBorders>
            <w:shd w:val="clear" w:color="auto" w:fill="auto"/>
            <w:vAlign w:val="center"/>
          </w:tcPr>
          <w:p>
            <w:pPr>
              <w:spacing w:line="360" w:lineRule="auto"/>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环环境质量标准</w:t>
            </w:r>
          </w:p>
        </w:tc>
        <w:tc>
          <w:tcPr>
            <w:tcW w:w="8006" w:type="dxa"/>
            <w:tcBorders>
              <w:top w:val="single" w:color="auto" w:sz="12" w:space="0"/>
              <w:left w:val="single" w:color="auto" w:sz="6" w:space="0"/>
              <w:bottom w:val="single" w:color="auto" w:sz="6" w:space="0"/>
              <w:right w:val="single" w:color="auto" w:sz="12" w:space="0"/>
            </w:tcBorders>
            <w:shd w:val="clear" w:color="auto" w:fill="auto"/>
          </w:tcPr>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1、地表水</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本项目尾水受纳水体</w:t>
            </w:r>
            <w:r>
              <w:rPr>
                <w:rFonts w:hint="eastAsia" w:ascii="Times New Roman" w:hAnsi="Times New Roman" w:eastAsia="宋体" w:cs="Times New Roman"/>
                <w:color w:val="auto"/>
                <w:sz w:val="24"/>
                <w:lang w:val="en-US" w:eastAsia="zh-CN" w:bidi="ar"/>
              </w:rPr>
              <w:t>采菱港</w:t>
            </w:r>
            <w:r>
              <w:rPr>
                <w:rFonts w:hint="default" w:ascii="Times New Roman" w:hAnsi="Times New Roman" w:eastAsia="宋体" w:cs="Times New Roman"/>
                <w:color w:val="auto"/>
                <w:sz w:val="24"/>
                <w:lang w:bidi="ar"/>
              </w:rPr>
              <w:t>，根据《常州市地表水（环境）功能区划》，水环境质量标准执行《地表水环境质量标准》（GB3838-2002）Ⅳ类标准，标准值见表4-1。</w:t>
            </w:r>
          </w:p>
          <w:p>
            <w:pPr>
              <w:pStyle w:val="26"/>
              <w:widowControl/>
              <w:rPr>
                <w:rFonts w:hint="default" w:ascii="Times New Roman" w:hAnsi="Times New Roman" w:cs="Times New Roman"/>
                <w:color w:val="auto"/>
              </w:rPr>
            </w:pPr>
            <w:r>
              <w:rPr>
                <w:rFonts w:hint="default" w:ascii="Times New Roman" w:hAnsi="Times New Roman" w:cs="Times New Roman"/>
                <w:color w:val="auto"/>
              </w:rPr>
              <w:t>表4-1《地表水环境质量标准》（GB3838-2002）</w:t>
            </w:r>
          </w:p>
          <w:tbl>
            <w:tblPr>
              <w:tblStyle w:val="14"/>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1024"/>
              <w:gridCol w:w="1329"/>
              <w:gridCol w:w="1561"/>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bidi="ar"/>
                    </w:rPr>
                    <w:t>项目</w:t>
                  </w:r>
                </w:p>
              </w:tc>
              <w:tc>
                <w:tcPr>
                  <w:tcW w:w="102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bidi="ar"/>
                    </w:rPr>
                    <w:t>pH</w:t>
                  </w:r>
                </w:p>
              </w:tc>
              <w:tc>
                <w:tcPr>
                  <w:tcW w:w="132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bidi="ar"/>
                    </w:rPr>
                    <w:t>COD</w:t>
                  </w:r>
                </w:p>
              </w:tc>
              <w:tc>
                <w:tcPr>
                  <w:tcW w:w="156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bidi="ar"/>
                    </w:rPr>
                    <w:t>NH</w:t>
                  </w:r>
                  <w:r>
                    <w:rPr>
                      <w:rFonts w:hint="default" w:ascii="Times New Roman" w:hAnsi="Times New Roman" w:eastAsia="宋体" w:cs="Times New Roman"/>
                      <w:color w:val="auto"/>
                      <w:szCs w:val="21"/>
                      <w:vertAlign w:val="subscript"/>
                      <w:lang w:bidi="ar"/>
                    </w:rPr>
                    <w:t>3</w:t>
                  </w:r>
                  <w:r>
                    <w:rPr>
                      <w:rFonts w:hint="default" w:ascii="Times New Roman" w:hAnsi="Times New Roman" w:eastAsia="宋体" w:cs="Times New Roman"/>
                      <w:color w:val="auto"/>
                      <w:szCs w:val="21"/>
                      <w:lang w:bidi="ar"/>
                    </w:rPr>
                    <w:t>-N</w:t>
                  </w:r>
                </w:p>
              </w:tc>
              <w:tc>
                <w:tcPr>
                  <w:tcW w:w="101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bidi="ar"/>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Ⅳ类标准限值</w:t>
                  </w:r>
                </w:p>
              </w:tc>
              <w:tc>
                <w:tcPr>
                  <w:tcW w:w="102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6～9</w:t>
                  </w:r>
                </w:p>
              </w:tc>
              <w:tc>
                <w:tcPr>
                  <w:tcW w:w="132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30</w:t>
                  </w:r>
                </w:p>
              </w:tc>
              <w:tc>
                <w:tcPr>
                  <w:tcW w:w="1561"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N/>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w:t>
                  </w:r>
                </w:p>
              </w:tc>
              <w:tc>
                <w:tcPr>
                  <w:tcW w:w="1011"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N/>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0.3</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2、环境空气</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根据《常州市环境空气质量功能区划分》（2017），项目所在地为二类区，执行《环境空气质量标准》（GB3095-2012）中二级标准</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非甲烷总烃选用我国《大气污染物综合排放标准详解》（国家环境保护局科技标准司）推荐值2mg/m</w:t>
            </w:r>
            <w:r>
              <w:rPr>
                <w:rFonts w:hint="default" w:ascii="Times New Roman" w:hAnsi="Times New Roman" w:eastAsia="宋体" w:cs="Times New Roman"/>
                <w:color w:val="auto"/>
                <w:sz w:val="24"/>
                <w:vertAlign w:val="superscript"/>
                <w:lang w:bidi="ar"/>
              </w:rPr>
              <w:t>3</w:t>
            </w:r>
            <w:r>
              <w:rPr>
                <w:rFonts w:hint="default" w:ascii="Times New Roman" w:hAnsi="Times New Roman" w:eastAsia="宋体" w:cs="Times New Roman"/>
                <w:color w:val="auto"/>
                <w:sz w:val="24"/>
                <w:lang w:bidi="ar"/>
              </w:rPr>
              <w:t>作为质量标准参考值，TVOC执行《环境影响评价技术导则 大气环境》（HJ2.2-2018）中的标准值</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val="en-US" w:eastAsia="zh-CN" w:bidi="ar"/>
              </w:rPr>
              <w:t>锡及其化合物执行</w:t>
            </w:r>
            <w:r>
              <w:rPr>
                <w:rFonts w:hint="default" w:ascii="Times New Roman" w:hAnsi="Times New Roman" w:eastAsia="宋体" w:cs="Times New Roman"/>
                <w:color w:val="auto"/>
                <w:sz w:val="24"/>
                <w:lang w:bidi="ar"/>
              </w:rPr>
              <w:t>我国《大气污染物综合排放标准详解》（国家环境保护局科技标准司）</w:t>
            </w:r>
            <w:r>
              <w:rPr>
                <w:rFonts w:hint="default" w:ascii="Times New Roman" w:hAnsi="Times New Roman" w:eastAsia="宋体" w:cs="Times New Roman"/>
                <w:color w:val="auto"/>
                <w:sz w:val="24"/>
                <w:lang w:val="en-US" w:eastAsia="zh-CN" w:bidi="ar"/>
              </w:rPr>
              <w:t>计算</w:t>
            </w:r>
            <w:r>
              <w:rPr>
                <w:rFonts w:hint="default" w:ascii="Times New Roman" w:hAnsi="Times New Roman" w:eastAsia="宋体" w:cs="Times New Roman"/>
                <w:color w:val="auto"/>
                <w:sz w:val="24"/>
                <w:lang w:bidi="ar"/>
              </w:rPr>
              <w:t>值</w:t>
            </w:r>
            <w:r>
              <w:rPr>
                <w:rFonts w:hint="default" w:ascii="Times New Roman" w:hAnsi="Times New Roman" w:eastAsia="宋体" w:cs="Times New Roman"/>
                <w:color w:val="auto"/>
                <w:sz w:val="24"/>
                <w:lang w:val="en-US" w:eastAsia="zh-CN" w:bidi="ar"/>
              </w:rPr>
              <w:t>0.06</w:t>
            </w:r>
            <w:r>
              <w:rPr>
                <w:rFonts w:hint="default" w:ascii="Times New Roman" w:hAnsi="Times New Roman" w:eastAsia="宋体" w:cs="Times New Roman"/>
                <w:color w:val="auto"/>
                <w:sz w:val="24"/>
                <w:lang w:bidi="ar"/>
              </w:rPr>
              <w:t>mg/m</w:t>
            </w:r>
            <w:r>
              <w:rPr>
                <w:rFonts w:hint="default" w:ascii="Times New Roman" w:hAnsi="Times New Roman" w:eastAsia="宋体" w:cs="Times New Roman"/>
                <w:color w:val="auto"/>
                <w:sz w:val="24"/>
                <w:vertAlign w:val="superscript"/>
                <w:lang w:bidi="ar"/>
              </w:rPr>
              <w:t>3</w:t>
            </w:r>
            <w:r>
              <w:rPr>
                <w:rFonts w:hint="default" w:ascii="Times New Roman" w:hAnsi="Times New Roman" w:eastAsia="宋体" w:cs="Times New Roman"/>
                <w:color w:val="auto"/>
                <w:sz w:val="24"/>
                <w:lang w:bidi="ar"/>
              </w:rPr>
              <w:t>作为质量标准参考值</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标准值见表4-2。</w:t>
            </w:r>
          </w:p>
          <w:p>
            <w:pPr>
              <w:pStyle w:val="26"/>
              <w:widowControl/>
              <w:rPr>
                <w:rFonts w:hint="default" w:ascii="Times New Roman" w:hAnsi="Times New Roman" w:cs="Times New Roman"/>
                <w:color w:val="auto"/>
              </w:rPr>
            </w:pPr>
            <w:r>
              <w:rPr>
                <w:rFonts w:hint="default" w:ascii="Times New Roman" w:hAnsi="Times New Roman" w:cs="Times New Roman"/>
                <w:color w:val="auto"/>
              </w:rPr>
              <w:t>表4-2环境空气质量评价标准</w:t>
            </w:r>
          </w:p>
          <w:tbl>
            <w:tblPr>
              <w:tblStyle w:val="14"/>
              <w:tblW w:w="7618" w:type="dxa"/>
              <w:jc w:val="center"/>
              <w:tblInd w:w="3"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576"/>
              <w:gridCol w:w="1595"/>
              <w:gridCol w:w="1407"/>
              <w:gridCol w:w="819"/>
              <w:gridCol w:w="222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tcBorders>
                    <w:bottom w:val="single" w:color="auto" w:sz="2" w:space="0"/>
                    <w:right w:val="single" w:color="auto" w:sz="2" w:space="0"/>
                  </w:tcBorders>
                  <w:shd w:val="clear" w:color="auto" w:fill="auto"/>
                  <w:vAlign w:val="center"/>
                </w:tcPr>
                <w:p>
                  <w:pPr>
                    <w:pStyle w:val="21"/>
                    <w:autoSpaceDE w:val="0"/>
                    <w:ind w:firstLine="0" w:firstLineChars="0"/>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污染物名称</w:t>
                  </w:r>
                </w:p>
              </w:tc>
              <w:tc>
                <w:tcPr>
                  <w:tcW w:w="1595" w:type="dxa"/>
                  <w:tcBorders>
                    <w:left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取值时间</w:t>
                  </w:r>
                </w:p>
              </w:tc>
              <w:tc>
                <w:tcPr>
                  <w:tcW w:w="1407" w:type="dxa"/>
                  <w:tcBorders>
                    <w:left w:val="single" w:color="auto" w:sz="2" w:space="0"/>
                    <w:bottom w:val="single" w:color="auto" w:sz="4" w:space="0"/>
                    <w:right w:val="single" w:color="auto" w:sz="2" w:space="0"/>
                  </w:tcBorders>
                  <w:shd w:val="clear" w:color="auto" w:fill="auto"/>
                  <w:vAlign w:val="center"/>
                </w:tcPr>
                <w:p>
                  <w:pPr>
                    <w:pStyle w:val="21"/>
                    <w:autoSpaceDE w:val="0"/>
                    <w:ind w:firstLine="0" w:firstLineChars="0"/>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浓度限值</w:t>
                  </w:r>
                </w:p>
              </w:tc>
              <w:tc>
                <w:tcPr>
                  <w:tcW w:w="819" w:type="dxa"/>
                  <w:tcBorders>
                    <w:left w:val="single" w:color="auto" w:sz="2" w:space="0"/>
                    <w:bottom w:val="single" w:color="auto" w:sz="4" w:space="0"/>
                    <w:right w:val="single" w:color="auto" w:sz="4" w:space="0"/>
                  </w:tcBorders>
                  <w:shd w:val="clear" w:color="auto" w:fill="auto"/>
                  <w:vAlign w:val="center"/>
                </w:tcPr>
                <w:p>
                  <w:pPr>
                    <w:pStyle w:val="28"/>
                    <w:autoSpaceDE w:val="0"/>
                    <w:ind w:firstLine="0" w:firstLineChars="0"/>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单位</w:t>
                  </w:r>
                </w:p>
              </w:tc>
              <w:tc>
                <w:tcPr>
                  <w:tcW w:w="2221" w:type="dxa"/>
                  <w:tcBorders>
                    <w:left w:val="nil"/>
                    <w:bottom w:val="single" w:color="auto" w:sz="4" w:space="0"/>
                  </w:tcBorders>
                  <w:shd w:val="clear" w:color="auto" w:fill="auto"/>
                  <w:vAlign w:val="center"/>
                </w:tcPr>
                <w:p>
                  <w:pPr>
                    <w:pStyle w:val="28"/>
                    <w:autoSpaceDE w:val="0"/>
                    <w:ind w:firstLine="0" w:firstLineChars="0"/>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SO</w:t>
                  </w:r>
                  <w:r>
                    <w:rPr>
                      <w:rFonts w:hint="default" w:ascii="Times New Roman" w:hAnsi="Times New Roman" w:eastAsia="宋体" w:cs="Times New Roman"/>
                      <w:color w:val="auto"/>
                      <w:kern w:val="0"/>
                      <w:sz w:val="21"/>
                      <w:szCs w:val="21"/>
                      <w:vertAlign w:val="subscript"/>
                    </w:rPr>
                    <w:t>2</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60</w:t>
                  </w:r>
                </w:p>
              </w:tc>
              <w:tc>
                <w:tcPr>
                  <w:tcW w:w="819" w:type="dxa"/>
                  <w:vMerge w:val="restart"/>
                  <w:tcBorders>
                    <w:top w:val="single" w:color="auto" w:sz="2" w:space="0"/>
                    <w:left w:val="single" w:color="auto" w:sz="2" w:space="0"/>
                    <w:bottom w:val="single" w:color="auto" w:sz="2" w:space="0"/>
                    <w:right w:val="single" w:color="auto" w:sz="4"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μg/m</w:t>
                  </w:r>
                  <w:r>
                    <w:rPr>
                      <w:rFonts w:hint="default" w:ascii="Times New Roman" w:hAnsi="Times New Roman" w:cs="Times New Roman"/>
                      <w:color w:val="auto"/>
                      <w:kern w:val="0"/>
                      <w:sz w:val="21"/>
                      <w:szCs w:val="21"/>
                      <w:vertAlign w:val="superscript"/>
                    </w:rPr>
                    <w:t>3</w:t>
                  </w:r>
                </w:p>
              </w:tc>
              <w:tc>
                <w:tcPr>
                  <w:tcW w:w="2221" w:type="dxa"/>
                  <w:vMerge w:val="restart"/>
                  <w:tcBorders>
                    <w:top w:val="single" w:color="auto" w:sz="2" w:space="0"/>
                    <w:left w:val="nil"/>
                    <w:bottom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《环境空气质量标准》（GB3095-2012）中二级标准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hint="default"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150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hint="default"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NO</w:t>
                  </w:r>
                  <w:r>
                    <w:rPr>
                      <w:rFonts w:hint="default" w:ascii="Times New Roman" w:hAnsi="Times New Roman" w:cs="Times New Roman"/>
                      <w:color w:val="auto"/>
                      <w:kern w:val="0"/>
                      <w:sz w:val="21"/>
                      <w:szCs w:val="21"/>
                      <w:vertAlign w:val="subscript"/>
                    </w:rPr>
                    <w:t>2</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hint="default"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80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hint="default"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PM</w:t>
                  </w:r>
                  <w:r>
                    <w:rPr>
                      <w:rFonts w:hint="default" w:ascii="Times New Roman" w:hAnsi="Times New Roman" w:eastAsia="宋体" w:cs="Times New Roman"/>
                      <w:color w:val="auto"/>
                      <w:kern w:val="0"/>
                      <w:sz w:val="21"/>
                      <w:szCs w:val="21"/>
                      <w:vertAlign w:val="subscript"/>
                    </w:rPr>
                    <w:t>10</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70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hint="default"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150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PM</w:t>
                  </w:r>
                  <w:r>
                    <w:rPr>
                      <w:rFonts w:hint="default" w:ascii="Times New Roman" w:hAnsi="Times New Roman" w:eastAsia="宋体" w:cs="Times New Roman"/>
                      <w:color w:val="auto"/>
                      <w:kern w:val="0"/>
                      <w:sz w:val="21"/>
                      <w:szCs w:val="21"/>
                      <w:vertAlign w:val="subscript"/>
                    </w:rPr>
                    <w:t>2.5</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35</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hint="default"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75</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tcBorders>
                    <w:top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CO</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4000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tcBorders>
                    <w:top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O</w:t>
                  </w:r>
                  <w:r>
                    <w:rPr>
                      <w:rFonts w:hint="default" w:ascii="Times New Roman" w:hAnsi="Times New Roman" w:eastAsia="宋体" w:cs="Times New Roman"/>
                      <w:color w:val="auto"/>
                      <w:kern w:val="0"/>
                      <w:szCs w:val="21"/>
                      <w:vertAlign w:val="subscript"/>
                      <w:lang w:bidi="ar"/>
                    </w:rPr>
                    <w:t>3</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8小时平均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160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非甲烷总烃</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color w:val="auto"/>
                      <w:kern w:val="0"/>
                      <w:sz w:val="21"/>
                      <w:szCs w:val="21"/>
                      <w:lang w:val="en-US" w:eastAsia="zh-CN"/>
                    </w:rPr>
                    <w:t>一次值</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2.0</w:t>
                  </w:r>
                </w:p>
              </w:tc>
              <w:tc>
                <w:tcPr>
                  <w:tcW w:w="819" w:type="dxa"/>
                  <w:vMerge w:val="restart"/>
                  <w:tcBorders>
                    <w:top w:val="single" w:color="auto" w:sz="2" w:space="0"/>
                    <w:left w:val="single" w:color="auto" w:sz="2" w:space="0"/>
                    <w:right w:val="single" w:color="auto" w:sz="4" w:space="0"/>
                  </w:tcBorders>
                  <w:shd w:val="clear" w:color="auto" w:fill="auto"/>
                  <w:vAlign w:val="center"/>
                </w:tcPr>
                <w:p>
                  <w:pPr>
                    <w:pStyle w:val="21"/>
                    <w:autoSpaceDE w:val="0"/>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mg/Nm</w:t>
                  </w:r>
                  <w:r>
                    <w:rPr>
                      <w:rFonts w:hint="default" w:ascii="Times New Roman" w:hAnsi="Times New Roman" w:eastAsia="宋体" w:cs="Times New Roman"/>
                      <w:color w:val="auto"/>
                      <w:sz w:val="21"/>
                      <w:szCs w:val="21"/>
                      <w:vertAlign w:val="superscript"/>
                    </w:rPr>
                    <w:t>3</w:t>
                  </w:r>
                </w:p>
              </w:tc>
              <w:tc>
                <w:tcPr>
                  <w:tcW w:w="2221" w:type="dxa"/>
                  <w:vMerge w:val="restart"/>
                  <w:tcBorders>
                    <w:top w:val="single" w:color="auto" w:sz="2" w:space="0"/>
                    <w:left w:val="nil"/>
                  </w:tcBorders>
                  <w:shd w:val="clear" w:color="auto" w:fill="auto"/>
                  <w:vAlign w:val="center"/>
                </w:tcPr>
                <w:p>
                  <w:pPr>
                    <w:pStyle w:val="28"/>
                    <w:autoSpaceDE w:val="0"/>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《大气污染物综合排放标准详解》</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锡及其化合物*</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一次值</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0.06</w:t>
                  </w:r>
                </w:p>
              </w:tc>
              <w:tc>
                <w:tcPr>
                  <w:tcW w:w="819" w:type="dxa"/>
                  <w:vMerge w:val="continue"/>
                  <w:tcBorders>
                    <w:left w:val="single" w:color="auto" w:sz="2" w:space="0"/>
                    <w:right w:val="single" w:color="auto" w:sz="4" w:space="0"/>
                  </w:tcBorders>
                  <w:shd w:val="clear" w:color="auto" w:fill="auto"/>
                  <w:vAlign w:val="center"/>
                </w:tcPr>
                <w:p>
                  <w:pPr>
                    <w:pStyle w:val="21"/>
                    <w:autoSpaceDE w:val="0"/>
                    <w:ind w:firstLine="0" w:firstLineChars="0"/>
                    <w:rPr>
                      <w:rFonts w:hint="default" w:ascii="Times New Roman" w:hAnsi="Times New Roman" w:eastAsia="宋体" w:cs="Times New Roman"/>
                      <w:color w:val="auto"/>
                      <w:sz w:val="21"/>
                      <w:szCs w:val="21"/>
                    </w:rPr>
                  </w:pPr>
                </w:p>
              </w:tc>
              <w:tc>
                <w:tcPr>
                  <w:tcW w:w="2221" w:type="dxa"/>
                  <w:vMerge w:val="continue"/>
                  <w:tcBorders>
                    <w:left w:val="nil"/>
                    <w:bottom w:val="single" w:color="auto" w:sz="2" w:space="0"/>
                  </w:tcBorders>
                  <w:shd w:val="clear" w:color="auto" w:fill="auto"/>
                  <w:vAlign w:val="center"/>
                </w:tcPr>
                <w:p>
                  <w:pPr>
                    <w:pStyle w:val="28"/>
                    <w:autoSpaceDE w:val="0"/>
                    <w:ind w:firstLine="0" w:firstLineChars="0"/>
                    <w:rPr>
                      <w:rFonts w:hint="default" w:ascii="Times New Roman" w:hAnsi="Times New Roman" w:cs="Times New Roman"/>
                      <w:color w:val="auto"/>
                      <w:kern w:val="0"/>
                      <w:sz w:val="21"/>
                      <w:szCs w:val="21"/>
                    </w:rPr>
                  </w:pPr>
                </w:p>
              </w:tc>
            </w:tr>
          </w:tbl>
          <w:p>
            <w:pPr>
              <w:spacing w:line="360" w:lineRule="auto"/>
              <w:ind w:firstLine="422" w:firstLineChars="200"/>
              <w:rPr>
                <w:rFonts w:hint="default" w:ascii="Times New Roman" w:hAnsi="Times New Roman" w:eastAsia="宋体" w:cs="Times New Roman"/>
                <w:b/>
                <w:color w:val="auto"/>
                <w:sz w:val="21"/>
                <w:szCs w:val="21"/>
                <w:lang w:val="en-US" w:eastAsia="zh-CN" w:bidi="ar"/>
              </w:rPr>
            </w:pPr>
            <w:r>
              <w:rPr>
                <w:rFonts w:hint="default" w:ascii="Times New Roman" w:hAnsi="Times New Roman" w:eastAsia="宋体" w:cs="Times New Roman"/>
                <w:b/>
                <w:color w:val="auto"/>
                <w:sz w:val="21"/>
                <w:szCs w:val="21"/>
                <w:lang w:val="en-US" w:eastAsia="zh-CN" w:bidi="ar"/>
              </w:rPr>
              <w:t>备注：*参照美国车间空气中最高允许浓度限值为 2mg/m</w:t>
            </w:r>
            <w:r>
              <w:rPr>
                <w:rFonts w:hint="default" w:ascii="Times New Roman" w:hAnsi="Times New Roman" w:eastAsia="宋体" w:cs="Times New Roman"/>
                <w:b/>
                <w:color w:val="auto"/>
                <w:sz w:val="21"/>
                <w:szCs w:val="21"/>
                <w:vertAlign w:val="superscript"/>
                <w:lang w:val="en-US" w:eastAsia="zh-CN" w:bidi="ar"/>
              </w:rPr>
              <w:t>3</w:t>
            </w:r>
            <w:r>
              <w:rPr>
                <w:rFonts w:hint="default" w:ascii="Times New Roman" w:hAnsi="Times New Roman" w:eastAsia="宋体" w:cs="Times New Roman"/>
                <w:b/>
                <w:color w:val="auto"/>
                <w:sz w:val="21"/>
                <w:szCs w:val="21"/>
                <w:lang w:val="en-US" w:eastAsia="zh-CN" w:bidi="ar"/>
              </w:rPr>
              <w:t>，根据《大气污染物综合排放标准详解》第二章第七部分计算公式：lnC</w:t>
            </w:r>
            <w:r>
              <w:rPr>
                <w:rFonts w:hint="default" w:ascii="Times New Roman" w:hAnsi="Times New Roman" w:eastAsia="宋体" w:cs="Times New Roman"/>
                <w:b/>
                <w:color w:val="auto"/>
                <w:sz w:val="21"/>
                <w:szCs w:val="21"/>
                <w:vertAlign w:val="subscript"/>
                <w:lang w:val="en-US" w:eastAsia="zh-CN" w:bidi="ar"/>
              </w:rPr>
              <w:t>m</w:t>
            </w:r>
            <w:r>
              <w:rPr>
                <w:rFonts w:hint="default" w:ascii="Times New Roman" w:hAnsi="Times New Roman" w:eastAsia="宋体" w:cs="Times New Roman"/>
                <w:b/>
                <w:color w:val="auto"/>
                <w:sz w:val="21"/>
                <w:szCs w:val="21"/>
                <w:lang w:val="en-US" w:eastAsia="zh-CN" w:bidi="ar"/>
              </w:rPr>
              <w:t>=0.607lnC</w:t>
            </w:r>
            <w:r>
              <w:rPr>
                <w:rFonts w:hint="default" w:ascii="Times New Roman" w:hAnsi="Times New Roman" w:eastAsia="宋体" w:cs="Times New Roman"/>
                <w:b/>
                <w:color w:val="auto"/>
                <w:sz w:val="21"/>
                <w:szCs w:val="21"/>
                <w:vertAlign w:val="subscript"/>
                <w:lang w:val="en-US" w:eastAsia="zh-CN" w:bidi="ar"/>
              </w:rPr>
              <w:t>生</w:t>
            </w:r>
            <w:r>
              <w:rPr>
                <w:rFonts w:hint="default" w:ascii="Times New Roman" w:hAnsi="Times New Roman" w:eastAsia="宋体" w:cs="Times New Roman"/>
                <w:b/>
                <w:color w:val="auto"/>
                <w:sz w:val="21"/>
                <w:szCs w:val="21"/>
                <w:lang w:val="en-US" w:eastAsia="zh-CN" w:bidi="ar"/>
              </w:rPr>
              <w:t>-3.166（无机化合物），计算得出居住区大气中一次最高允许浓度限值为 0.06mg/m</w:t>
            </w:r>
            <w:r>
              <w:rPr>
                <w:rFonts w:hint="default" w:ascii="Times New Roman" w:hAnsi="Times New Roman" w:eastAsia="宋体" w:cs="Times New Roman"/>
                <w:b/>
                <w:color w:val="auto"/>
                <w:sz w:val="21"/>
                <w:szCs w:val="21"/>
                <w:vertAlign w:val="superscript"/>
                <w:lang w:val="en-US" w:eastAsia="zh-CN" w:bidi="ar"/>
              </w:rPr>
              <w:t>3</w:t>
            </w:r>
            <w:r>
              <w:rPr>
                <w:rFonts w:hint="default" w:ascii="Times New Roman" w:hAnsi="Times New Roman" w:eastAsia="宋体" w:cs="Times New Roman"/>
                <w:b/>
                <w:color w:val="auto"/>
                <w:sz w:val="21"/>
                <w:szCs w:val="21"/>
                <w:lang w:val="en-US" w:eastAsia="zh-CN" w:bidi="ar"/>
              </w:rPr>
              <w:t>，其中：C</w:t>
            </w:r>
            <w:r>
              <w:rPr>
                <w:rFonts w:hint="default" w:ascii="Times New Roman" w:hAnsi="Times New Roman" w:eastAsia="宋体" w:cs="Times New Roman"/>
                <w:b/>
                <w:color w:val="auto"/>
                <w:sz w:val="21"/>
                <w:szCs w:val="21"/>
                <w:vertAlign w:val="subscript"/>
                <w:lang w:val="en-US" w:eastAsia="zh-CN" w:bidi="ar"/>
              </w:rPr>
              <w:t>m</w:t>
            </w:r>
            <w:r>
              <w:rPr>
                <w:rFonts w:hint="default" w:ascii="Times New Roman" w:hAnsi="Times New Roman" w:eastAsia="宋体" w:cs="Times New Roman"/>
                <w:b/>
                <w:color w:val="auto"/>
                <w:sz w:val="21"/>
                <w:szCs w:val="21"/>
                <w:lang w:val="en-US" w:eastAsia="zh-CN" w:bidi="ar"/>
              </w:rPr>
              <w:t>—环境空气质量标准（mg/m</w:t>
            </w:r>
            <w:r>
              <w:rPr>
                <w:rFonts w:hint="default" w:ascii="Times New Roman" w:hAnsi="Times New Roman" w:eastAsia="宋体" w:cs="Times New Roman"/>
                <w:b/>
                <w:color w:val="auto"/>
                <w:sz w:val="21"/>
                <w:szCs w:val="21"/>
                <w:vertAlign w:val="superscript"/>
                <w:lang w:val="en-US" w:eastAsia="zh-CN" w:bidi="ar"/>
              </w:rPr>
              <w:t>3</w:t>
            </w:r>
            <w:r>
              <w:rPr>
                <w:rFonts w:hint="default" w:ascii="Times New Roman" w:hAnsi="Times New Roman" w:eastAsia="宋体" w:cs="Times New Roman"/>
                <w:b/>
                <w:color w:val="auto"/>
                <w:sz w:val="21"/>
                <w:szCs w:val="21"/>
                <w:lang w:val="en-US" w:eastAsia="zh-CN" w:bidi="ar"/>
              </w:rPr>
              <w:t>）；C</w:t>
            </w:r>
            <w:r>
              <w:rPr>
                <w:rFonts w:hint="default" w:ascii="Times New Roman" w:hAnsi="Times New Roman" w:eastAsia="宋体" w:cs="Times New Roman"/>
                <w:b/>
                <w:color w:val="auto"/>
                <w:sz w:val="21"/>
                <w:szCs w:val="21"/>
                <w:vertAlign w:val="subscript"/>
                <w:lang w:val="en-US" w:eastAsia="zh-CN" w:bidi="ar"/>
              </w:rPr>
              <w:t>生</w:t>
            </w:r>
            <w:r>
              <w:rPr>
                <w:rFonts w:hint="default" w:ascii="Times New Roman" w:hAnsi="Times New Roman" w:eastAsia="宋体" w:cs="Times New Roman"/>
                <w:b/>
                <w:color w:val="auto"/>
                <w:sz w:val="21"/>
                <w:szCs w:val="21"/>
                <w:lang w:val="en-US" w:eastAsia="zh-CN" w:bidi="ar"/>
              </w:rPr>
              <w:t>—车间空气中的最高允许浓度限值（mg/m</w:t>
            </w:r>
            <w:r>
              <w:rPr>
                <w:rFonts w:hint="default" w:ascii="Times New Roman" w:hAnsi="Times New Roman" w:eastAsia="宋体" w:cs="Times New Roman"/>
                <w:b/>
                <w:color w:val="auto"/>
                <w:sz w:val="21"/>
                <w:szCs w:val="21"/>
                <w:vertAlign w:val="superscript"/>
                <w:lang w:val="en-US" w:eastAsia="zh-CN" w:bidi="ar"/>
              </w:rPr>
              <w:t>3</w:t>
            </w:r>
            <w:r>
              <w:rPr>
                <w:rFonts w:hint="default" w:ascii="Times New Roman" w:hAnsi="Times New Roman" w:eastAsia="宋体" w:cs="Times New Roman"/>
                <w:b/>
                <w:color w:val="auto"/>
                <w:sz w:val="21"/>
                <w:szCs w:val="21"/>
                <w:lang w:val="en-US" w:eastAsia="zh-CN" w:bidi="ar"/>
              </w:rPr>
              <w:t>）。</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3、环境噪声</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根据《声环境质量标准》（GB3096-2008）声功能区分类，本项目区域声环境四周厂界执行《声环境质量标准》（GB3096-2008）</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类标准。本项目标准值见表4-3。</w:t>
            </w:r>
          </w:p>
          <w:p>
            <w:pPr>
              <w:pStyle w:val="26"/>
              <w:widowControl/>
              <w:rPr>
                <w:rFonts w:hint="default" w:ascii="Times New Roman" w:hAnsi="Times New Roman" w:cs="Times New Roman"/>
                <w:color w:val="auto"/>
              </w:rPr>
            </w:pPr>
            <w:r>
              <w:rPr>
                <w:rFonts w:hint="default" w:ascii="Times New Roman" w:hAnsi="Times New Roman" w:cs="Times New Roman"/>
                <w:color w:val="auto"/>
              </w:rPr>
              <w:t>表4-3《声环境质量标准》（GB3096-2008）单位：dB（A）</w:t>
            </w:r>
          </w:p>
          <w:tbl>
            <w:tblPr>
              <w:tblStyle w:val="14"/>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080"/>
              <w:gridCol w:w="1080"/>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声环境功能区划类别</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昼间</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夜间</w:t>
                  </w:r>
                </w:p>
              </w:tc>
              <w:tc>
                <w:tcPr>
                  <w:tcW w:w="290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执行区域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bidi="ar"/>
                    </w:rPr>
                    <w:t>3</w:t>
                  </w:r>
                  <w:r>
                    <w:rPr>
                      <w:rFonts w:hint="default" w:ascii="Times New Roman" w:hAnsi="Times New Roman" w:eastAsia="宋体" w:cs="Times New Roman"/>
                      <w:color w:val="auto"/>
                      <w:szCs w:val="21"/>
                      <w:lang w:bidi="ar"/>
                    </w:rPr>
                    <w:t>类</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bidi="ar"/>
                    </w:rPr>
                    <w:t>6</w:t>
                  </w:r>
                  <w:r>
                    <w:rPr>
                      <w:rFonts w:hint="eastAsia" w:ascii="Times New Roman" w:hAnsi="Times New Roman" w:eastAsia="宋体" w:cs="Times New Roman"/>
                      <w:color w:val="auto"/>
                      <w:szCs w:val="21"/>
                      <w:lang w:val="en-US" w:eastAsia="zh-CN" w:bidi="ar"/>
                    </w:rPr>
                    <w:t>5</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bidi="ar"/>
                    </w:rPr>
                    <w:t>5</w:t>
                  </w:r>
                  <w:r>
                    <w:rPr>
                      <w:rFonts w:hint="eastAsia" w:ascii="Times New Roman" w:hAnsi="Times New Roman" w:eastAsia="宋体" w:cs="Times New Roman"/>
                      <w:color w:val="auto"/>
                      <w:szCs w:val="21"/>
                      <w:lang w:val="en-US" w:eastAsia="zh-CN" w:bidi="ar"/>
                    </w:rPr>
                    <w:t>5</w:t>
                  </w:r>
                </w:p>
              </w:tc>
              <w:tc>
                <w:tcPr>
                  <w:tcW w:w="290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东、南、西、北厂界</w:t>
                  </w:r>
                </w:p>
              </w:tc>
            </w:tr>
          </w:tbl>
          <w:p>
            <w:pPr>
              <w:spacing w:line="240" w:lineRule="atLeast"/>
              <w:rPr>
                <w:rFonts w:hint="default"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57"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污污染物排放标准</w:t>
            </w:r>
          </w:p>
        </w:tc>
        <w:tc>
          <w:tcPr>
            <w:tcW w:w="8006" w:type="dxa"/>
            <w:tcBorders>
              <w:top w:val="single" w:color="auto" w:sz="6" w:space="0"/>
              <w:left w:val="single" w:color="auto" w:sz="6" w:space="0"/>
              <w:bottom w:val="single" w:color="auto" w:sz="6" w:space="0"/>
              <w:right w:val="single" w:color="auto" w:sz="12" w:space="0"/>
            </w:tcBorders>
            <w:shd w:val="clear" w:color="auto" w:fill="auto"/>
          </w:tcPr>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1、废水</w:t>
            </w:r>
          </w:p>
          <w:p>
            <w:pPr>
              <w:spacing w:line="360" w:lineRule="auto"/>
              <w:ind w:firstLine="480" w:firstLineChars="200"/>
              <w:rPr>
                <w:rFonts w:hint="default" w:ascii="Times New Roman" w:hAnsi="Times New Roman" w:eastAsia="宋体" w:cs="Times New Roman"/>
                <w:color w:val="auto"/>
                <w:sz w:val="24"/>
                <w:lang w:bidi="ar"/>
              </w:rPr>
            </w:pPr>
            <w:r>
              <w:rPr>
                <w:rFonts w:hint="eastAsia" w:ascii="宋体" w:hAnsi="宋体" w:eastAsia="宋体" w:cs="宋体"/>
                <w:color w:val="auto"/>
                <w:sz w:val="24"/>
                <w:lang w:val="en-US" w:eastAsia="zh-CN" w:bidi="ar"/>
              </w:rPr>
              <w:t>本项目</w:t>
            </w:r>
            <w:r>
              <w:rPr>
                <w:rFonts w:hint="eastAsia" w:ascii="宋体" w:hAnsi="宋体" w:eastAsia="宋体" w:cs="宋体"/>
                <w:color w:val="auto"/>
                <w:sz w:val="24"/>
                <w:lang w:bidi="ar"/>
              </w:rPr>
              <w:t>生活污水接管至武进城区污水处理厂处理，接管废水执行《污水综合排放标准》（GB8978-1996）表4中三级标准，氨氮、总磷参考执行《污水排入城镇下水道水质标准》(CJ343-2015)表1中B等级标准，污水厂尾水排入</w:t>
            </w:r>
            <w:r>
              <w:rPr>
                <w:rFonts w:hint="eastAsia" w:ascii="宋体" w:hAnsi="宋体" w:eastAsia="宋体" w:cs="宋体"/>
                <w:color w:val="auto"/>
                <w:sz w:val="24"/>
                <w:lang w:val="en-US" w:eastAsia="zh-CN" w:bidi="ar"/>
              </w:rPr>
              <w:t>采菱港</w:t>
            </w:r>
            <w:r>
              <w:rPr>
                <w:rFonts w:hint="eastAsia" w:ascii="宋体" w:hAnsi="宋体" w:eastAsia="宋体" w:cs="宋体"/>
                <w:color w:val="auto"/>
                <w:sz w:val="24"/>
                <w:lang w:bidi="ar"/>
              </w:rPr>
              <w:t>，目前尾水排放执行《城镇污水处理厂污染物排放标准》（GB18918－2002）一级A标准及《太湖地区城镇污水处理厂主要水污染物排放限值》（DB32/1072-2007）表2中的标准。2021年1月1日起执行《太湖地区城镇污水处理厂及重点工业行业主要水污染物排放限值》（DB32/1072-2018）表2标准。</w:t>
            </w:r>
            <w:r>
              <w:rPr>
                <w:rFonts w:hint="default" w:ascii="Times New Roman" w:hAnsi="Times New Roman" w:eastAsia="宋体" w:cs="Times New Roman"/>
                <w:color w:val="auto"/>
                <w:sz w:val="24"/>
                <w:lang w:bidi="ar"/>
              </w:rPr>
              <w:t>具体见表4-4。</w: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表4-4水污染物排放标准单位：mg/L</w:t>
            </w:r>
          </w:p>
          <w:tbl>
            <w:tblPr>
              <w:tblStyle w:val="14"/>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482"/>
              <w:gridCol w:w="1476"/>
              <w:gridCol w:w="209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序号</w:t>
                  </w:r>
                </w:p>
              </w:tc>
              <w:tc>
                <w:tcPr>
                  <w:tcW w:w="1482"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排放口编号</w:t>
                  </w:r>
                </w:p>
              </w:tc>
              <w:tc>
                <w:tcPr>
                  <w:tcW w:w="1476"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污染物种类</w:t>
                  </w:r>
                </w:p>
              </w:tc>
              <w:tc>
                <w:tcPr>
                  <w:tcW w:w="4196" w:type="dxa"/>
                  <w:gridSpan w:val="2"/>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国家或地方污染物排放标准及其他按规定商定的排放协议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p>
              </w:tc>
              <w:tc>
                <w:tcPr>
                  <w:tcW w:w="1476"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p>
              </w:tc>
              <w:tc>
                <w:tcPr>
                  <w:tcW w:w="2094"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名称</w:t>
                  </w:r>
                </w:p>
              </w:tc>
              <w:tc>
                <w:tcPr>
                  <w:tcW w:w="2102"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1482"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企业污水接管口1#</w:t>
                  </w: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pH</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《污水综合排放标准》</w:t>
                  </w:r>
                </w:p>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（GB8978-1996）表4</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三级标准</w:t>
                  </w: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pStyle w:val="33"/>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pStyle w:val="33"/>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SS</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pStyle w:val="33"/>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动植物油</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氨氮</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《污水排入城镇下水道水质标准》</w:t>
                  </w:r>
                </w:p>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(CJ343-2015)表1</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B等级标准</w:t>
                  </w: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总磷</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总氮</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w:t>
                  </w:r>
                </w:p>
              </w:tc>
              <w:tc>
                <w:tcPr>
                  <w:tcW w:w="1482"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武进城区污水处理厂排口（2021年1月1日前）</w:t>
                  </w: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pH</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《城镇污水处理厂污染物排放标准》</w:t>
                  </w:r>
                </w:p>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（GB18918-2002）表1</w:t>
                  </w:r>
                </w:p>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一级A标准</w:t>
                  </w: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9</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SS</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动植物油</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11</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《太湖地区城镇污水处理厂及重点工业行业主要水污染物排放限值》（</w:t>
                  </w:r>
                  <w:r>
                    <w:rPr>
                      <w:rFonts w:hint="default" w:ascii="Times New Roman" w:hAnsi="Times New Roman" w:cs="Times New Roman"/>
                      <w:bCs/>
                      <w:sz w:val="21"/>
                      <w:szCs w:val="21"/>
                    </w:rPr>
                    <w:t>DB32/T1072-2007</w:t>
                  </w:r>
                  <w:r>
                    <w:rPr>
                      <w:rFonts w:hint="default" w:ascii="Times New Roman" w:hAnsi="Times New Roman" w:cs="Times New Roman"/>
                      <w:sz w:val="21"/>
                      <w:szCs w:val="21"/>
                    </w:rPr>
                    <w:t>）表2</w:t>
                  </w: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12</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氨氮</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13</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总磷</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14</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总氮</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15</w:t>
                  </w:r>
                </w:p>
              </w:tc>
              <w:tc>
                <w:tcPr>
                  <w:tcW w:w="1482"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武进城区污水处理厂排口（2021年1月1日后）</w:t>
                  </w: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pH</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《城镇污水处理厂污染物排放标准》</w:t>
                  </w:r>
                </w:p>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（GB18918-2002）表1</w:t>
                  </w:r>
                </w:p>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一级A标准</w:t>
                  </w: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hint="default" w:ascii="Times New Roman" w:hAnsi="Times New Roman" w:cs="Times New Roman"/>
                      <w:sz w:val="21"/>
                    </w:rPr>
                  </w:pPr>
                  <w:r>
                    <w:rPr>
                      <w:rFonts w:hint="default" w:ascii="Times New Roman" w:hAnsi="Times New Roman" w:cs="Times New Roman"/>
                      <w:sz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16</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SS</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hint="default" w:ascii="Times New Roman" w:hAnsi="Times New Roman" w:cs="Times New Roman"/>
                      <w:sz w:val="21"/>
                    </w:rPr>
                  </w:pPr>
                  <w:r>
                    <w:rPr>
                      <w:rFonts w:hint="default" w:ascii="Times New Roman" w:hAnsi="Times New Roman" w:cs="Times New Roman"/>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17</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动植物油</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18</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《太湖地区城镇污水处理厂及重点工业行业主要水污染物排放限值》（</w:t>
                  </w:r>
                  <w:r>
                    <w:rPr>
                      <w:rFonts w:hint="default" w:ascii="Times New Roman" w:hAnsi="Times New Roman" w:cs="Times New Roman"/>
                      <w:sz w:val="21"/>
                    </w:rPr>
                    <w:t xml:space="preserve"> DB32/1072-2018</w:t>
                  </w:r>
                  <w:r>
                    <w:rPr>
                      <w:rFonts w:hint="default" w:ascii="Times New Roman" w:hAnsi="Times New Roman" w:cs="Times New Roman"/>
                      <w:sz w:val="21"/>
                      <w:szCs w:val="21"/>
                    </w:rPr>
                    <w:t>）表2</w:t>
                  </w: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hint="default" w:ascii="Times New Roman" w:hAnsi="Times New Roman" w:cs="Times New Roman"/>
                      <w:sz w:val="21"/>
                    </w:rPr>
                  </w:pPr>
                  <w:r>
                    <w:rPr>
                      <w:rFonts w:hint="default" w:ascii="Times New Roman" w:hAnsi="Times New Roman" w:cs="Times New Roman"/>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19</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氨氮</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hint="default" w:ascii="Times New Roman" w:hAnsi="Times New Roman" w:cs="Times New Roman"/>
                      <w:sz w:val="21"/>
                    </w:rPr>
                  </w:pPr>
                  <w:r>
                    <w:rPr>
                      <w:rFonts w:hint="default" w:ascii="Times New Roman" w:hAnsi="Times New Roman" w:cs="Times New Roman"/>
                      <w:sz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20</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总磷</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hint="default" w:ascii="Times New Roman" w:hAnsi="Times New Roman" w:cs="Times New Roman"/>
                      <w:sz w:val="21"/>
                    </w:rPr>
                  </w:pPr>
                  <w:r>
                    <w:rPr>
                      <w:rFonts w:hint="default" w:ascii="Times New Roman" w:hAnsi="Times New Roman" w:cs="Times New Roman"/>
                      <w:sz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21</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总氮</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12(15)</w:t>
                  </w:r>
                </w:p>
              </w:tc>
            </w:tr>
          </w:tbl>
          <w:p>
            <w:pPr>
              <w:rPr>
                <w:rFonts w:hint="default" w:ascii="Times New Roman" w:hAnsi="Times New Roman" w:cs="Times New Roman"/>
                <w:b/>
                <w:sz w:val="21"/>
                <w:szCs w:val="21"/>
              </w:rPr>
            </w:pPr>
            <w:r>
              <w:rPr>
                <w:rFonts w:hint="default" w:ascii="Times New Roman" w:hAnsi="Times New Roman" w:cs="Times New Roman"/>
                <w:sz w:val="21"/>
                <w:szCs w:val="21"/>
              </w:rPr>
              <w:t>注：①括号外数值为水温＞12℃时的控制指标，括号内数值为水温≤12℃时的控制指标。</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2、废气</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本项目排放的</w:t>
            </w:r>
            <w:r>
              <w:rPr>
                <w:rFonts w:hint="eastAsia" w:ascii="Times New Roman" w:hAnsi="Times New Roman" w:eastAsia="宋体" w:cs="Times New Roman"/>
                <w:color w:val="auto"/>
                <w:sz w:val="24"/>
                <w:lang w:val="en-US" w:eastAsia="zh-CN" w:bidi="ar"/>
              </w:rPr>
              <w:t>非甲烷总烃执行《合成树脂工业污染物排放标准》（GB 31572-2015）</w:t>
            </w:r>
            <w:r>
              <w:rPr>
                <w:rFonts w:hint="default" w:ascii="Times New Roman" w:hAnsi="Times New Roman" w:eastAsia="宋体" w:cs="Times New Roman"/>
                <w:color w:val="auto"/>
                <w:sz w:val="24"/>
                <w:lang w:bidi="ar"/>
              </w:rPr>
              <w:t>、锡及其化合物执行《大气污染物综合排放标准》(GB16297-1996)表 2 中相关排放标准。</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有组织排放大气污染物排放标准见表4-</w:t>
            </w:r>
            <w:r>
              <w:rPr>
                <w:rFonts w:hint="default" w:ascii="Times New Roman" w:hAnsi="Times New Roman" w:eastAsia="宋体" w:cs="Times New Roman"/>
                <w:color w:val="auto"/>
                <w:sz w:val="24"/>
                <w:lang w:val="en-US" w:eastAsia="zh-CN" w:bidi="ar"/>
              </w:rPr>
              <w:t>6</w:t>
            </w:r>
            <w:r>
              <w:rPr>
                <w:rFonts w:hint="default" w:ascii="Times New Roman" w:hAnsi="Times New Roman" w:eastAsia="宋体" w:cs="Times New Roman"/>
                <w:color w:val="auto"/>
                <w:sz w:val="24"/>
                <w:lang w:bidi="ar"/>
              </w:rPr>
              <w:t>。</w:t>
            </w:r>
          </w:p>
          <w:p>
            <w:pPr>
              <w:pStyle w:val="34"/>
              <w:spacing w:beforeLines="0" w:line="400" w:lineRule="exact"/>
              <w:ind w:firstLine="0" w:firstLineChars="0"/>
              <w:jc w:val="center"/>
              <w:rPr>
                <w:rFonts w:hint="default" w:ascii="Times New Roman" w:hAnsi="Times New Roman" w:cs="Times New Roman"/>
                <w:b/>
              </w:rPr>
            </w:pPr>
            <w:r>
              <w:rPr>
                <w:rFonts w:hint="default" w:ascii="Times New Roman" w:hAnsi="Times New Roman" w:cs="Times New Roman"/>
                <w:b/>
              </w:rPr>
              <w:t>表4-</w:t>
            </w:r>
            <w:r>
              <w:rPr>
                <w:rFonts w:hint="default" w:ascii="Times New Roman" w:hAnsi="Times New Roman" w:cs="Times New Roman"/>
                <w:b/>
                <w:lang w:val="en-US" w:eastAsia="zh-CN"/>
              </w:rPr>
              <w:t>6</w:t>
            </w:r>
            <w:r>
              <w:rPr>
                <w:rFonts w:hint="default" w:ascii="Times New Roman" w:hAnsi="Times New Roman" w:cs="Times New Roman"/>
                <w:b/>
              </w:rPr>
              <w:t xml:space="preserve">  有组织排放大气污染物排放标准</w:t>
            </w:r>
          </w:p>
          <w:tbl>
            <w:tblPr>
              <w:tblStyle w:val="14"/>
              <w:tblW w:w="778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714"/>
              <w:gridCol w:w="977"/>
              <w:gridCol w:w="776"/>
              <w:gridCol w:w="1034"/>
              <w:gridCol w:w="904"/>
              <w:gridCol w:w="237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1714" w:type="dxa"/>
                  <w:vMerge w:val="restart"/>
                  <w:tcBorders>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污染物名称</w:t>
                  </w:r>
                </w:p>
              </w:tc>
              <w:tc>
                <w:tcPr>
                  <w:tcW w:w="3691" w:type="dxa"/>
                  <w:gridSpan w:val="4"/>
                  <w:tcBorders>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限值</w:t>
                  </w:r>
                </w:p>
              </w:tc>
              <w:tc>
                <w:tcPr>
                  <w:tcW w:w="2375" w:type="dxa"/>
                  <w:vMerge w:val="restart"/>
                  <w:tcBorders>
                    <w:left w:val="single" w:color="auto" w:sz="6" w:space="0"/>
                    <w:bottom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标准来源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065" w:hRule="atLeast"/>
              </w:trPr>
              <w:tc>
                <w:tcPr>
                  <w:tcW w:w="1714" w:type="dxa"/>
                  <w:vMerge w:val="continue"/>
                  <w:tcBorders>
                    <w:top w:val="single" w:color="auto" w:sz="4" w:space="0"/>
                    <w:bottom w:val="single" w:color="auto" w:sz="6" w:space="0"/>
                    <w:right w:val="single" w:color="auto" w:sz="6" w:space="0"/>
                  </w:tcBorders>
                  <w:vAlign w:val="center"/>
                </w:tcPr>
                <w:p>
                  <w:pPr>
                    <w:spacing w:line="240" w:lineRule="auto"/>
                    <w:ind w:firstLine="0" w:firstLineChars="0"/>
                    <w:jc w:val="left"/>
                    <w:rPr>
                      <w:rFonts w:hint="default" w:ascii="Times New Roman" w:hAnsi="Times New Roman" w:cs="Times New Roman"/>
                      <w:color w:val="auto"/>
                      <w:sz w:val="21"/>
                      <w:szCs w:val="21"/>
                    </w:rPr>
                  </w:pPr>
                </w:p>
              </w:tc>
              <w:tc>
                <w:tcPr>
                  <w:tcW w:w="9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最高允许排放浓度(mg/m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7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排气筒高度(m)</w:t>
                  </w:r>
                </w:p>
              </w:tc>
              <w:tc>
                <w:tcPr>
                  <w:tcW w:w="10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排放速率(kg/h)</w:t>
                  </w:r>
                </w:p>
              </w:tc>
              <w:tc>
                <w:tcPr>
                  <w:tcW w:w="90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无组织排放监控浓度限值(mg/m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2375" w:type="dxa"/>
                  <w:vMerge w:val="continue"/>
                  <w:tcBorders>
                    <w:top w:val="single" w:color="auto" w:sz="4" w:space="0"/>
                    <w:left w:val="single" w:color="auto" w:sz="6" w:space="0"/>
                    <w:bottom w:val="single" w:color="auto" w:sz="6" w:space="0"/>
                  </w:tcBorders>
                  <w:vAlign w:val="center"/>
                </w:tcPr>
                <w:p>
                  <w:pPr>
                    <w:spacing w:line="240" w:lineRule="auto"/>
                    <w:ind w:firstLine="0" w:firstLineChars="0"/>
                    <w:jc w:val="left"/>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85" w:hRule="atLeast"/>
              </w:trPr>
              <w:tc>
                <w:tcPr>
                  <w:tcW w:w="1714" w:type="dxa"/>
                  <w:tcBorders>
                    <w:top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非甲烷总烃</w:t>
                  </w:r>
                </w:p>
              </w:tc>
              <w:tc>
                <w:tcPr>
                  <w:tcW w:w="9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6</w:t>
                  </w:r>
                  <w:r>
                    <w:rPr>
                      <w:rFonts w:hint="default" w:ascii="Times New Roman" w:hAnsi="Times New Roman" w:cs="Times New Roman"/>
                      <w:color w:val="auto"/>
                      <w:sz w:val="21"/>
                      <w:szCs w:val="21"/>
                    </w:rPr>
                    <w:t>0</w:t>
                  </w:r>
                </w:p>
              </w:tc>
              <w:tc>
                <w:tcPr>
                  <w:tcW w:w="7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w:t>
                  </w:r>
                </w:p>
              </w:tc>
              <w:tc>
                <w:tcPr>
                  <w:tcW w:w="10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w:t>
                  </w:r>
                </w:p>
              </w:tc>
              <w:tc>
                <w:tcPr>
                  <w:tcW w:w="90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60</w:t>
                  </w:r>
                </w:p>
              </w:tc>
              <w:tc>
                <w:tcPr>
                  <w:tcW w:w="2375" w:type="dxa"/>
                  <w:tcBorders>
                    <w:top w:val="single" w:color="auto" w:sz="6" w:space="0"/>
                    <w:left w:val="single" w:color="auto" w:sz="6" w:space="0"/>
                    <w:bottom w:val="single" w:color="auto" w:sz="4" w:space="0"/>
                  </w:tcBorders>
                  <w:vAlign w:val="center"/>
                </w:tcPr>
                <w:p>
                  <w:pPr>
                    <w:adjustRightInd w:val="0"/>
                    <w:snapToGrid w:val="0"/>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《合成树脂工业污染物排放标准》（GB 31572-2015）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70" w:hRule="atLeast"/>
              </w:trPr>
              <w:tc>
                <w:tcPr>
                  <w:tcW w:w="1714" w:type="dxa"/>
                  <w:tcBorders>
                    <w:top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锡及其化合物</w:t>
                  </w:r>
                </w:p>
              </w:tc>
              <w:tc>
                <w:tcPr>
                  <w:tcW w:w="977" w:type="dxa"/>
                  <w:tcBorders>
                    <w:top w:val="single" w:color="auto" w:sz="6" w:space="0"/>
                    <w:left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8.5</w:t>
                  </w:r>
                </w:p>
              </w:tc>
              <w:tc>
                <w:tcPr>
                  <w:tcW w:w="776" w:type="dxa"/>
                  <w:tcBorders>
                    <w:top w:val="single" w:color="auto" w:sz="6" w:space="0"/>
                    <w:left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15</w:t>
                  </w:r>
                </w:p>
              </w:tc>
              <w:tc>
                <w:tcPr>
                  <w:tcW w:w="1034" w:type="dxa"/>
                  <w:tcBorders>
                    <w:top w:val="single" w:color="auto" w:sz="6" w:space="0"/>
                    <w:left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0.31</w:t>
                  </w:r>
                </w:p>
              </w:tc>
              <w:tc>
                <w:tcPr>
                  <w:tcW w:w="904" w:type="dxa"/>
                  <w:tcBorders>
                    <w:top w:val="single" w:color="auto" w:sz="6" w:space="0"/>
                    <w:left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0.24</w:t>
                  </w:r>
                </w:p>
              </w:tc>
              <w:tc>
                <w:tcPr>
                  <w:tcW w:w="2375" w:type="dxa"/>
                  <w:tcBorders>
                    <w:top w:val="single" w:color="auto" w:sz="4" w:space="0"/>
                    <w:lef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《大气污染物综合排放标准》(GB16297-1996)</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3、噪声</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本项目声环境四周厂界执行《工业企业厂界环境噪声排放标准》（GB 12348-2008）</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类标准。标准值见表4-7。</w: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表4-7工业企业厂界环境噪声排放限值单位：dB（A）</w:t>
            </w:r>
          </w:p>
          <w:tbl>
            <w:tblPr>
              <w:tblStyle w:val="14"/>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140"/>
              <w:gridCol w:w="1215"/>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声环境功能区划类别</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昼间</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夜间</w:t>
                  </w:r>
                </w:p>
              </w:tc>
              <w:tc>
                <w:tcPr>
                  <w:tcW w:w="284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执行区域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bidi="ar"/>
                    </w:rPr>
                    <w:t>3</w:t>
                  </w:r>
                  <w:r>
                    <w:rPr>
                      <w:rFonts w:hint="default" w:ascii="Times New Roman" w:hAnsi="Times New Roman" w:eastAsia="宋体" w:cs="Times New Roman"/>
                      <w:color w:val="auto"/>
                      <w:szCs w:val="21"/>
                      <w:lang w:bidi="ar"/>
                    </w:rPr>
                    <w:t>类</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bidi="ar"/>
                    </w:rPr>
                    <w:t>6</w:t>
                  </w:r>
                  <w:r>
                    <w:rPr>
                      <w:rFonts w:hint="eastAsia" w:ascii="Times New Roman" w:hAnsi="Times New Roman" w:eastAsia="宋体" w:cs="Times New Roman"/>
                      <w:color w:val="auto"/>
                      <w:szCs w:val="21"/>
                      <w:lang w:val="en-US" w:eastAsia="zh-CN" w:bidi="ar"/>
                    </w:rPr>
                    <w:t>5</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bidi="ar"/>
                    </w:rPr>
                    <w:t>5</w:t>
                  </w:r>
                  <w:r>
                    <w:rPr>
                      <w:rFonts w:hint="eastAsia" w:ascii="Times New Roman" w:hAnsi="Times New Roman" w:eastAsia="宋体" w:cs="Times New Roman"/>
                      <w:color w:val="auto"/>
                      <w:szCs w:val="21"/>
                      <w:lang w:val="en-US" w:eastAsia="zh-CN" w:bidi="ar"/>
                    </w:rPr>
                    <w:t>5</w:t>
                  </w:r>
                </w:p>
              </w:tc>
              <w:tc>
                <w:tcPr>
                  <w:tcW w:w="284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东、南、西、北厂界</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4、固体废弃物</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一般固废执行《一般工业固体废物贮存、处置污染控制标准》（GB18599-2001），危险固废执行《危险废物贮存污染控制标准》（GB18597-2001），同时执行环境保护部公告2013年第36号《关于发布（一般工业固体废物贮存、处置场污染控制标准）（GB18597-2001）等3项国家污染物控制标准修改单的公告》中修改单。</w:t>
            </w:r>
          </w:p>
        </w:tc>
      </w:tr>
    </w:tbl>
    <w:p>
      <w:pPr>
        <w:rPr>
          <w:rFonts w:hint="default" w:ascii="Times New Roman" w:hAnsi="Times New Roman" w:cs="Times New Roman"/>
        </w:rPr>
        <w:sectPr>
          <w:pgSz w:w="11906" w:h="16838"/>
          <w:pgMar w:top="1440" w:right="1800" w:bottom="1440" w:left="1800" w:header="851" w:footer="992" w:gutter="0"/>
          <w:pgNumType w:fmt="decimal"/>
          <w:cols w:space="425" w:num="1"/>
          <w:docGrid w:type="lines" w:linePitch="312" w:charSpace="0"/>
        </w:sectPr>
      </w:pPr>
    </w:p>
    <w:p>
      <w:pPr>
        <w:pStyle w:val="17"/>
        <w:rPr>
          <w:rFonts w:hint="default" w:ascii="Times New Roman" w:hAnsi="Times New Roman" w:cs="Times New Roman"/>
        </w:rPr>
      </w:pPr>
    </w:p>
    <w:tbl>
      <w:tblPr>
        <w:tblStyle w:val="15"/>
        <w:tblW w:w="85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0"/>
        <w:gridCol w:w="8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60" w:type="dxa"/>
            <w:tcBorders>
              <w:top w:val="single" w:color="auto" w:sz="6" w:space="0"/>
              <w:left w:val="single" w:color="auto" w:sz="12" w:space="0"/>
              <w:bottom w:val="single" w:color="auto" w:sz="12" w:space="0"/>
              <w:right w:val="single" w:color="auto" w:sz="6" w:space="0"/>
            </w:tcBorders>
            <w:shd w:val="clear" w:color="auto" w:fill="auto"/>
            <w:vAlign w:val="center"/>
          </w:tcPr>
          <w:p>
            <w:pPr>
              <w:spacing w:line="360" w:lineRule="auto"/>
              <w:jc w:val="both"/>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总量控制指标</w:t>
            </w:r>
          </w:p>
        </w:tc>
        <w:tc>
          <w:tcPr>
            <w:tcW w:w="8056" w:type="dxa"/>
            <w:tcBorders>
              <w:top w:val="single" w:color="auto" w:sz="6" w:space="0"/>
              <w:left w:val="single" w:color="auto" w:sz="6" w:space="0"/>
              <w:bottom w:val="single" w:color="auto" w:sz="12" w:space="0"/>
              <w:right w:val="single" w:color="auto" w:sz="12" w:space="0"/>
            </w:tcBorders>
            <w:shd w:val="clear" w:color="auto" w:fill="auto"/>
          </w:tcPr>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1、总量控制指标</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项目实施后，污染物总量控制指标见表4-8。</w:t>
            </w:r>
          </w:p>
          <w:p>
            <w:pPr>
              <w:spacing w:line="360" w:lineRule="auto"/>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表4-8项目污染物总量控制一览表单位：t/a</w:t>
            </w:r>
          </w:p>
          <w:tbl>
            <w:tblPr>
              <w:tblStyle w:val="14"/>
              <w:tblW w:w="7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4"/>
              <w:gridCol w:w="1483"/>
              <w:gridCol w:w="1294"/>
              <w:gridCol w:w="1560"/>
              <w:gridCol w:w="1432"/>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377" w:type="dxa"/>
                  <w:gridSpan w:val="2"/>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污染物名称</w:t>
                  </w:r>
                </w:p>
              </w:tc>
              <w:tc>
                <w:tcPr>
                  <w:tcW w:w="4286" w:type="dxa"/>
                  <w:gridSpan w:val="3"/>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本项目</w:t>
                  </w:r>
                </w:p>
              </w:tc>
              <w:tc>
                <w:tcPr>
                  <w:tcW w:w="1167"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b w:val="0"/>
                      <w:bCs/>
                      <w:i w:val="0"/>
                      <w:color w:val="000000"/>
                      <w:kern w:val="0"/>
                      <w:sz w:val="21"/>
                      <w:szCs w:val="21"/>
                      <w:u w:val="none"/>
                      <w:lang w:val="en-US" w:eastAsia="zh-CN" w:bidi="ar"/>
                    </w:rPr>
                    <w:t>排入外环境</w:t>
                  </w:r>
                  <w:r>
                    <w:rPr>
                      <w:rFonts w:hint="eastAsia" w:ascii="Times New Roman" w:hAnsi="Times New Roman" w:eastAsia="宋体" w:cs="Times New Roman"/>
                      <w:b w:val="0"/>
                      <w:bCs/>
                      <w:i w:val="0"/>
                      <w:color w:val="000000"/>
                      <w:kern w:val="0"/>
                      <w:sz w:val="21"/>
                      <w:szCs w:val="21"/>
                      <w:u w:val="none"/>
                      <w:lang w:val="en-US" w:eastAsia="zh-CN" w:bidi="ar"/>
                    </w:rPr>
                    <w:t>的</w:t>
                  </w:r>
                  <w:r>
                    <w:rPr>
                      <w:rFonts w:hint="default" w:ascii="Times New Roman" w:hAnsi="Times New Roman" w:eastAsia="宋体" w:cs="Times New Roman"/>
                      <w:b w:val="0"/>
                      <w:bCs/>
                      <w:i w:val="0"/>
                      <w:color w:val="000000"/>
                      <w:kern w:val="0"/>
                      <w:sz w:val="21"/>
                      <w:szCs w:val="21"/>
                      <w:u w:val="none"/>
                      <w:lang w:val="en-US" w:eastAsia="zh-CN" w:bidi="ar"/>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377" w:type="dxa"/>
                  <w:gridSpan w:val="2"/>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294"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产生量</w:t>
                  </w:r>
                </w:p>
              </w:tc>
              <w:tc>
                <w:tcPr>
                  <w:tcW w:w="1560"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削减量</w:t>
                  </w:r>
                </w:p>
              </w:tc>
              <w:tc>
                <w:tcPr>
                  <w:tcW w:w="1432"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排放量</w:t>
                  </w:r>
                </w:p>
              </w:tc>
              <w:tc>
                <w:tcPr>
                  <w:tcW w:w="1167" w:type="dxa"/>
                  <w:vMerge w:val="continue"/>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94"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生活污水</w:t>
                  </w:r>
                </w:p>
              </w:tc>
              <w:tc>
                <w:tcPr>
                  <w:tcW w:w="148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水量</w:t>
                  </w:r>
                </w:p>
              </w:tc>
              <w:tc>
                <w:tcPr>
                  <w:tcW w:w="1294"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240</w:t>
                  </w:r>
                </w:p>
              </w:tc>
              <w:tc>
                <w:tcPr>
                  <w:tcW w:w="1560"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c>
                <w:tcPr>
                  <w:tcW w:w="1432"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240</w:t>
                  </w:r>
                </w:p>
              </w:tc>
              <w:tc>
                <w:tcPr>
                  <w:tcW w:w="1167" w:type="dxa"/>
                  <w:vAlign w:val="center"/>
                </w:tcPr>
                <w:p>
                  <w:pPr>
                    <w:widowControl/>
                    <w:spacing w:line="240" w:lineRule="auto"/>
                    <w:ind w:firstLine="0" w:firstLineChars="0"/>
                    <w:jc w:val="center"/>
                    <w:textAlignment w:val="center"/>
                    <w:rPr>
                      <w:rFonts w:hint="eastAsia" w:ascii="Times New Roman" w:hAnsi="Times New Roman" w:cs="Times New Roman"/>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94"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48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COD</w:t>
                  </w:r>
                </w:p>
              </w:tc>
              <w:tc>
                <w:tcPr>
                  <w:tcW w:w="129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0.096</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0.030</w:t>
                  </w:r>
                </w:p>
              </w:tc>
              <w:tc>
                <w:tcPr>
                  <w:tcW w:w="1432"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116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0" w:hRule="atLeast"/>
              </w:trPr>
              <w:tc>
                <w:tcPr>
                  <w:tcW w:w="894"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48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SS</w:t>
                  </w:r>
                </w:p>
              </w:tc>
              <w:tc>
                <w:tcPr>
                  <w:tcW w:w="129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0.072</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0.030</w:t>
                  </w:r>
                </w:p>
              </w:tc>
              <w:tc>
                <w:tcPr>
                  <w:tcW w:w="1432"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116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894"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48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NH</w:t>
                  </w:r>
                  <w:r>
                    <w:rPr>
                      <w:rStyle w:val="42"/>
                      <w:rFonts w:hint="default" w:ascii="Times New Roman" w:hAnsi="Times New Roman" w:cs="Times New Roman"/>
                      <w:b w:val="0"/>
                      <w:bCs/>
                      <w:color w:val="auto"/>
                      <w:sz w:val="21"/>
                      <w:szCs w:val="21"/>
                      <w:vertAlign w:val="subscript"/>
                      <w:lang w:bidi="ar"/>
                    </w:rPr>
                    <w:t>3</w:t>
                  </w:r>
                  <w:r>
                    <w:rPr>
                      <w:rStyle w:val="36"/>
                      <w:rFonts w:hint="default" w:ascii="Times New Roman" w:hAnsi="Times New Roman" w:cs="Times New Roman"/>
                      <w:bCs/>
                      <w:color w:val="auto"/>
                      <w:sz w:val="21"/>
                      <w:szCs w:val="21"/>
                      <w:lang w:bidi="ar"/>
                    </w:rPr>
                    <w:t>-N</w:t>
                  </w:r>
                </w:p>
              </w:tc>
              <w:tc>
                <w:tcPr>
                  <w:tcW w:w="129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0.0096</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0.003</w:t>
                  </w:r>
                </w:p>
              </w:tc>
              <w:tc>
                <w:tcPr>
                  <w:tcW w:w="1432"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16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94"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48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TP</w:t>
                  </w:r>
                </w:p>
              </w:tc>
              <w:tc>
                <w:tcPr>
                  <w:tcW w:w="129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0.0000</w:t>
                  </w:r>
                </w:p>
              </w:tc>
              <w:tc>
                <w:tcPr>
                  <w:tcW w:w="1432"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16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94"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483"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default" w:ascii="Times New Roman" w:hAnsi="Times New Roman" w:cs="Times New Roman"/>
                      <w:bCs/>
                      <w:color w:val="auto"/>
                      <w:kern w:val="0"/>
                      <w:sz w:val="21"/>
                      <w:szCs w:val="21"/>
                      <w:lang w:val="en-US" w:eastAsia="zh-CN" w:bidi="ar"/>
                    </w:rPr>
                    <w:t>TN</w:t>
                  </w:r>
                </w:p>
              </w:tc>
              <w:tc>
                <w:tcPr>
                  <w:tcW w:w="1294"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0.0144</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仿宋" w:cs="Times New Roman"/>
                      <w:i w:val="0"/>
                      <w:color w:val="000000"/>
                      <w:kern w:val="0"/>
                      <w:sz w:val="21"/>
                      <w:szCs w:val="21"/>
                      <w:u w:val="none"/>
                      <w:lang w:val="en-US" w:eastAsia="zh-CN" w:bidi="ar"/>
                    </w:rPr>
                    <w:t>0.0060</w:t>
                  </w:r>
                </w:p>
              </w:tc>
              <w:tc>
                <w:tcPr>
                  <w:tcW w:w="1432"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0.012</w:t>
                  </w:r>
                </w:p>
              </w:tc>
              <w:tc>
                <w:tcPr>
                  <w:tcW w:w="116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94"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无组织废气</w:t>
                  </w:r>
                </w:p>
              </w:tc>
              <w:tc>
                <w:tcPr>
                  <w:tcW w:w="148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val="en-US" w:eastAsia="zh-CN" w:bidi="ar"/>
                    </w:rPr>
                    <w:t>VOCs</w:t>
                  </w:r>
                  <w:r>
                    <w:rPr>
                      <w:rFonts w:hint="eastAsia" w:ascii="Times New Roman" w:hAnsi="Times New Roman" w:cs="Times New Roman"/>
                      <w:bCs/>
                      <w:color w:val="auto"/>
                      <w:kern w:val="0"/>
                      <w:sz w:val="21"/>
                      <w:szCs w:val="21"/>
                      <w:lang w:val="en-US" w:eastAsia="zh-CN" w:bidi="ar"/>
                    </w:rPr>
                    <w:t>（含非甲烷总烃）</w:t>
                  </w:r>
                </w:p>
              </w:tc>
              <w:tc>
                <w:tcPr>
                  <w:tcW w:w="129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eastAsia" w:ascii="Times New Roman" w:hAnsi="Times New Roman" w:eastAsia="宋体" w:cs="Times New Roman"/>
                      <w:i w:val="0"/>
                      <w:color w:val="000000"/>
                      <w:sz w:val="21"/>
                      <w:szCs w:val="21"/>
                      <w:u w:val="none"/>
                      <w:lang w:val="en-US" w:eastAsia="zh-CN"/>
                    </w:rPr>
                    <w:t>0.0003</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0.00024</w:t>
                  </w:r>
                </w:p>
              </w:tc>
              <w:tc>
                <w:tcPr>
                  <w:tcW w:w="1432"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eastAsia" w:ascii="Times New Roman" w:hAnsi="Times New Roman" w:eastAsia="宋体" w:cs="Times New Roman"/>
                      <w:i w:val="0"/>
                      <w:color w:val="000000"/>
                      <w:sz w:val="21"/>
                      <w:szCs w:val="21"/>
                      <w:u w:val="none"/>
                      <w:lang w:val="en-US" w:eastAsia="zh-CN"/>
                    </w:rPr>
                    <w:t>0.00006</w:t>
                  </w:r>
                </w:p>
              </w:tc>
              <w:tc>
                <w:tcPr>
                  <w:tcW w:w="1167"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94" w:type="dxa"/>
                  <w:vMerge w:val="continue"/>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p>
              </w:tc>
              <w:tc>
                <w:tcPr>
                  <w:tcW w:w="1483"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val="en-US" w:eastAsia="zh-CN" w:bidi="ar"/>
                    </w:rPr>
                    <w:t>颗粒物（含锡及其化合物）</w:t>
                  </w:r>
                </w:p>
              </w:tc>
              <w:tc>
                <w:tcPr>
                  <w:tcW w:w="1294"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eastAsia="宋体" w:cs="Times New Roman"/>
                      <w:i w:val="0"/>
                      <w:color w:val="000000"/>
                      <w:sz w:val="21"/>
                      <w:szCs w:val="21"/>
                      <w:u w:val="none"/>
                      <w:lang w:val="en-US" w:eastAsia="zh-CN"/>
                    </w:rPr>
                    <w:t>0.005</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eastAsia="宋体" w:cs="Times New Roman"/>
                      <w:i w:val="0"/>
                      <w:color w:val="000000"/>
                      <w:sz w:val="21"/>
                      <w:szCs w:val="21"/>
                      <w:u w:val="none"/>
                      <w:lang w:val="en-US" w:eastAsia="zh-CN"/>
                    </w:rPr>
                    <w:t>0.00405</w:t>
                  </w:r>
                </w:p>
              </w:tc>
              <w:tc>
                <w:tcPr>
                  <w:tcW w:w="1432"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eastAsia="宋体" w:cs="Times New Roman"/>
                      <w:i w:val="0"/>
                      <w:color w:val="000000"/>
                      <w:sz w:val="21"/>
                      <w:szCs w:val="21"/>
                      <w:u w:val="none"/>
                      <w:lang w:val="en-US" w:eastAsia="zh-CN"/>
                    </w:rPr>
                    <w:t>0.00095</w:t>
                  </w:r>
                </w:p>
              </w:tc>
              <w:tc>
                <w:tcPr>
                  <w:tcW w:w="1167"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7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生活垃圾</w:t>
                  </w:r>
                </w:p>
              </w:tc>
              <w:tc>
                <w:tcPr>
                  <w:tcW w:w="1294"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1.5</w:t>
                  </w:r>
                </w:p>
              </w:tc>
              <w:tc>
                <w:tcPr>
                  <w:tcW w:w="1560"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cs="Times New Roman"/>
                      <w:bCs/>
                      <w:color w:val="auto"/>
                      <w:kern w:val="0"/>
                      <w:sz w:val="21"/>
                      <w:szCs w:val="21"/>
                      <w:lang w:val="en-US" w:eastAsia="zh-CN" w:bidi="ar"/>
                    </w:rPr>
                    <w:t>1.5</w:t>
                  </w:r>
                </w:p>
              </w:tc>
              <w:tc>
                <w:tcPr>
                  <w:tcW w:w="1432"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c>
                <w:tcPr>
                  <w:tcW w:w="1167"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7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一般固废</w:t>
                  </w:r>
                </w:p>
              </w:tc>
              <w:tc>
                <w:tcPr>
                  <w:tcW w:w="1294"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0.525</w:t>
                  </w:r>
                </w:p>
              </w:tc>
              <w:tc>
                <w:tcPr>
                  <w:tcW w:w="1560"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0.525</w:t>
                  </w:r>
                </w:p>
              </w:tc>
              <w:tc>
                <w:tcPr>
                  <w:tcW w:w="1432"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c>
                <w:tcPr>
                  <w:tcW w:w="1167"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7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危险固废</w:t>
                  </w:r>
                </w:p>
              </w:tc>
              <w:tc>
                <w:tcPr>
                  <w:tcW w:w="1294"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0.011</w:t>
                  </w:r>
                </w:p>
              </w:tc>
              <w:tc>
                <w:tcPr>
                  <w:tcW w:w="1560"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0.011</w:t>
                  </w:r>
                </w:p>
              </w:tc>
              <w:tc>
                <w:tcPr>
                  <w:tcW w:w="1432"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c>
                <w:tcPr>
                  <w:tcW w:w="1167"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2、总量平衡方案</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水：根据江苏省环境保护厅《关于印发江苏省建设项目主要污染物排放总量区域平衡方案审核管理办法的通知》(苏环办[2011]71号)：“自该通知发布日2011年3月17日起，报批环评报告需新增化学需氧量、氨氮指标的排污单位必须按照省排污权有偿使用和交易试点的有关规定办理申购手续”。建设方应按要求到当地环保部门对COD、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-N排污指标进行申购。本项目废水经</w:t>
            </w:r>
            <w:r>
              <w:rPr>
                <w:rFonts w:hint="eastAsia" w:ascii="Times New Roman" w:hAnsi="Times New Roman" w:eastAsia="宋体" w:cs="Times New Roman"/>
                <w:color w:val="auto"/>
                <w:sz w:val="24"/>
                <w:lang w:val="en-US" w:eastAsia="zh-CN"/>
              </w:rPr>
              <w:t>武进城区污水处理厂集中处理，尾水排入采菱港</w:t>
            </w:r>
            <w:r>
              <w:rPr>
                <w:rFonts w:hint="default" w:ascii="Times New Roman" w:hAnsi="Times New Roman" w:eastAsia="宋体" w:cs="Times New Roman"/>
                <w:color w:val="auto"/>
                <w:sz w:val="24"/>
              </w:rPr>
              <w:t>，其最终排放量为：COD 0.</w:t>
            </w:r>
            <w:r>
              <w:rPr>
                <w:rFonts w:hint="eastAsia" w:ascii="Times New Roman" w:hAnsi="Times New Roman" w:eastAsia="宋体" w:cs="Times New Roman"/>
                <w:color w:val="auto"/>
                <w:sz w:val="24"/>
                <w:lang w:val="en-US" w:eastAsia="zh-CN"/>
              </w:rPr>
              <w:t>012</w:t>
            </w:r>
            <w:r>
              <w:rPr>
                <w:rFonts w:hint="default" w:ascii="Times New Roman" w:hAnsi="Times New Roman" w:eastAsia="宋体" w:cs="Times New Roman"/>
                <w:color w:val="auto"/>
                <w:sz w:val="24"/>
              </w:rPr>
              <w:t xml:space="preserve"> t/a、NH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 0.0</w:t>
            </w:r>
            <w:r>
              <w:rPr>
                <w:rFonts w:hint="eastAsia" w:ascii="Times New Roman" w:hAnsi="Times New Roman" w:eastAsia="宋体" w:cs="Times New Roman"/>
                <w:color w:val="auto"/>
                <w:sz w:val="24"/>
                <w:lang w:val="en-US" w:eastAsia="zh-CN"/>
              </w:rPr>
              <w:t>012</w:t>
            </w:r>
            <w:r>
              <w:rPr>
                <w:rFonts w:hint="default" w:ascii="Times New Roman" w:hAnsi="Times New Roman" w:eastAsia="宋体" w:cs="Times New Roman"/>
                <w:color w:val="auto"/>
                <w:sz w:val="24"/>
              </w:rPr>
              <w:t>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气：根据《常州市建设项目主要污染物排放总量指标审核及管理实施细则》（常政办发[2015]104号）：“建设项目主要污染物排放总量指标按工程减排类项目2倍削减量替代或关闭类项目1.5倍削减量替代。”本项目建成后</w:t>
            </w:r>
            <w:r>
              <w:rPr>
                <w:rFonts w:hint="default" w:ascii="Times New Roman" w:hAnsi="Times New Roman" w:eastAsia="宋体" w:cs="Times New Roman"/>
                <w:color w:val="auto"/>
                <w:sz w:val="24"/>
                <w:lang w:val="en-US" w:eastAsia="zh-CN"/>
              </w:rPr>
              <w:t>无组织排放的大气污染物：VOCs（含非甲烷总烃） 0.0000</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t/a、颗粒物（含锡及其化合物）0.0</w:t>
            </w:r>
            <w:r>
              <w:rPr>
                <w:rFonts w:hint="eastAsia" w:ascii="Times New Roman" w:hAnsi="Times New Roman" w:eastAsia="宋体" w:cs="Times New Roman"/>
                <w:color w:val="auto"/>
                <w:sz w:val="24"/>
                <w:lang w:val="en-US" w:eastAsia="zh-CN"/>
              </w:rPr>
              <w:t>0095</w:t>
            </w:r>
            <w:r>
              <w:rPr>
                <w:rFonts w:hint="default" w:ascii="Times New Roman" w:hAnsi="Times New Roman" w:eastAsia="宋体" w:cs="Times New Roman"/>
                <w:color w:val="auto"/>
                <w:sz w:val="24"/>
                <w:lang w:val="en-US" w:eastAsia="zh-CN"/>
              </w:rPr>
              <w:t>t/a</w:t>
            </w:r>
            <w:r>
              <w:rPr>
                <w:rFonts w:hint="default" w:ascii="Times New Roman" w:hAnsi="Times New Roman" w:eastAsia="宋体" w:cs="Times New Roman"/>
                <w:color w:val="auto"/>
                <w:sz w:val="24"/>
              </w:rPr>
              <w:t>需申请总量，</w:t>
            </w:r>
            <w:r>
              <w:rPr>
                <w:rFonts w:hint="default" w:ascii="Times New Roman" w:hAnsi="Times New Roman" w:eastAsia="宋体" w:cs="Times New Roman"/>
                <w:color w:val="auto"/>
                <w:sz w:val="24"/>
                <w:lang w:val="en-US" w:eastAsia="zh-CN"/>
              </w:rPr>
              <w:t>需在武进区内实现区域平衡</w:t>
            </w:r>
            <w:r>
              <w:rPr>
                <w:rFonts w:hint="default" w:ascii="Times New Roman" w:hAnsi="Times New Roman" w:eastAsia="宋体" w:cs="Times New Roman"/>
                <w:color w:val="auto"/>
                <w:sz w:val="24"/>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固废：本项目产生的固废均进行合理处理，实行固体废弃物零排放，不单独申请总量。</w:t>
            </w:r>
          </w:p>
        </w:tc>
      </w:tr>
    </w:tbl>
    <w:p>
      <w:pPr>
        <w:rPr>
          <w:rFonts w:hint="default" w:ascii="Times New Roman" w:hAnsi="Times New Roman" w:eastAsia="宋体" w:cs="Times New Roman"/>
          <w:b/>
          <w:color w:val="auto"/>
          <w:sz w:val="30"/>
          <w:szCs w:val="30"/>
        </w:rPr>
        <w:sectPr>
          <w:pgSz w:w="11906" w:h="16838"/>
          <w:pgMar w:top="1440" w:right="1803" w:bottom="1440" w:left="1803" w:header="851" w:footer="992" w:gutter="0"/>
          <w:pgNumType w:fmt="decimal"/>
          <w:cols w:space="0" w:num="1"/>
          <w:rtlGutter w:val="0"/>
          <w:docGrid w:type="lines" w:linePitch="319" w:charSpace="0"/>
        </w:sectPr>
      </w:pPr>
    </w:p>
    <w:p>
      <w:pPr>
        <w:spacing w:line="360" w:lineRule="auto"/>
        <w:ind w:firstLine="602" w:firstLineChars="200"/>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建设项目工程分析</w:t>
      </w:r>
    </w:p>
    <w:tbl>
      <w:tblPr>
        <w:tblStyle w:val="1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tcBorders>
              <w:top w:val="single" w:color="auto" w:sz="12" w:space="0"/>
              <w:left w:val="single" w:color="auto" w:sz="12" w:space="0"/>
              <w:bottom w:val="single" w:color="auto" w:sz="6" w:space="0"/>
              <w:right w:val="single" w:color="auto" w:sz="12" w:space="0"/>
            </w:tcBorders>
            <w:shd w:val="clear" w:color="auto" w:fill="auto"/>
          </w:tcPr>
          <w:p>
            <w:pPr>
              <w:spacing w:line="360" w:lineRule="auto"/>
              <w:ind w:firstLine="482" w:firstLineChars="20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工艺流程简述（图示）</w:t>
            </w:r>
          </w:p>
          <w:p>
            <w:pPr>
              <w:spacing w:line="360" w:lineRule="auto"/>
              <w:ind w:firstLine="482" w:firstLineChars="200"/>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本项目</w:t>
            </w:r>
            <w:r>
              <w:rPr>
                <w:rFonts w:hint="eastAsia" w:ascii="Times New Roman" w:hAnsi="Times New Roman" w:eastAsia="宋体" w:cs="Times New Roman"/>
                <w:b/>
                <w:bCs w:val="0"/>
                <w:color w:val="auto"/>
                <w:sz w:val="24"/>
                <w:lang w:val="en-US" w:eastAsia="zh-CN"/>
              </w:rPr>
              <w:t>生产</w:t>
            </w:r>
            <w:r>
              <w:rPr>
                <w:rFonts w:hint="default" w:ascii="Times New Roman" w:hAnsi="Times New Roman" w:eastAsia="宋体" w:cs="Times New Roman"/>
                <w:b/>
                <w:bCs w:val="0"/>
                <w:color w:val="auto"/>
                <w:sz w:val="24"/>
              </w:rPr>
              <w:t>工艺流程</w:t>
            </w:r>
            <w:r>
              <w:rPr>
                <w:rFonts w:hint="eastAsia" w:ascii="Times New Roman" w:hAnsi="Times New Roman" w:eastAsia="宋体" w:cs="Times New Roman"/>
                <w:b/>
                <w:bCs w:val="0"/>
                <w:color w:val="auto"/>
                <w:sz w:val="24"/>
                <w:lang w:val="en-US" w:eastAsia="zh-CN"/>
              </w:rPr>
              <w:t>见下图</w:t>
            </w:r>
            <w:r>
              <w:rPr>
                <w:rFonts w:hint="default" w:ascii="Times New Roman" w:hAnsi="Times New Roman" w:eastAsia="宋体" w:cs="Times New Roman"/>
                <w:b/>
                <w:bCs w:val="0"/>
                <w:color w:val="auto"/>
                <w:sz w:val="24"/>
              </w:rPr>
              <w:t>：</w: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object>
                <v:shape id="_x0000_i1025" o:spt="75" type="#_x0000_t75" style="height:255.65pt;width:234.65pt;" o:ole="t" filled="f" o:preferrelative="t" stroked="f" coordsize="21600,21600">
                  <v:path/>
                  <v:fill on="f" focussize="0,0"/>
                  <v:stroke on="f"/>
                  <v:imagedata r:id="rId6" o:title=""/>
                  <o:lock v:ext="edit" aspectratio="f"/>
                  <w10:wrap type="none"/>
                  <w10:anchorlock/>
                </v:shape>
                <o:OLEObject Type="Embed" ProgID="Visio.Drawing.15" ShapeID="_x0000_i1025" DrawAspect="Content" ObjectID="_1468075725" r:id="rId5">
                  <o:LockedField>false</o:LockedField>
                </o:OLEObject>
              </w:objec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图5-1  工艺流程图</w:t>
            </w:r>
          </w:p>
          <w:p>
            <w:pPr>
              <w:spacing w:line="360" w:lineRule="auto"/>
              <w:ind w:firstLine="482" w:firstLineChars="200"/>
              <w:rPr>
                <w:rFonts w:hint="default" w:ascii="Times New Roman" w:hAnsi="Times New Roman" w:eastAsia="宋体" w:cs="Times New Roman"/>
                <w:b/>
                <w:color w:val="auto"/>
                <w:sz w:val="24"/>
                <w:lang w:eastAsia="zh-CN"/>
              </w:rPr>
            </w:pPr>
            <w:r>
              <w:rPr>
                <w:rFonts w:hint="default" w:ascii="Times New Roman" w:hAnsi="Times New Roman" w:eastAsia="宋体" w:cs="Times New Roman"/>
                <w:b/>
                <w:color w:val="auto"/>
                <w:sz w:val="24"/>
                <w:lang w:bidi="ar"/>
              </w:rPr>
              <w:t>工艺流程简述</w:t>
            </w:r>
            <w:r>
              <w:rPr>
                <w:rFonts w:hint="default" w:ascii="Times New Roman" w:hAnsi="Times New Roman" w:eastAsia="宋体" w:cs="Times New Roman"/>
                <w:b/>
                <w:color w:val="auto"/>
                <w:sz w:val="24"/>
                <w:lang w:eastAsia="zh-CN" w:bidi="ar"/>
              </w:rPr>
              <w:t>：</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焊接：使用锡焊机将电线与连接器焊接在一起，产生G1 焊接烟尘。</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注塑：将PVC粒子加入注塑机中，将电线放在注塑平台上，注塑机自动注塑成型，产生G2 注塑废气。</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组装：使用压接机等将各个组件组装在一起，产生S1 边角料。</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检测：使用检测仪检测性能，S2 不合格产品。</w:t>
            </w:r>
          </w:p>
          <w:p>
            <w:pPr>
              <w:adjustRightInd w:val="0"/>
              <w:snapToGrid w:val="0"/>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主要污染工序污染源强分析</w:t>
            </w:r>
          </w:p>
          <w:p>
            <w:pPr>
              <w:numPr>
                <w:ilvl w:val="0"/>
                <w:numId w:val="3"/>
              </w:num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废气</w:t>
            </w:r>
          </w:p>
          <w:p>
            <w:pPr>
              <w:spacing w:line="360" w:lineRule="auto"/>
              <w:ind w:firstLine="480" w:firstLineChars="200"/>
              <w:rPr>
                <w:rFonts w:hint="eastAsia" w:ascii="Times New Roman" w:hAnsi="Times New Roman" w:eastAsia="宋体" w:cs="Times New Roman"/>
                <w:b w:val="0"/>
                <w:bCs/>
                <w:color w:val="auto"/>
                <w:sz w:val="24"/>
                <w:lang w:val="en-US" w:eastAsia="zh-CN" w:bidi="ar"/>
              </w:rPr>
            </w:pPr>
            <w:r>
              <w:rPr>
                <w:rFonts w:hint="default" w:ascii="Times New Roman" w:hAnsi="Times New Roman" w:eastAsia="宋体" w:cs="Times New Roman"/>
                <w:b w:val="0"/>
                <w:bCs/>
                <w:color w:val="auto"/>
                <w:sz w:val="24"/>
                <w:lang w:bidi="ar"/>
              </w:rPr>
              <w:t>①</w:t>
            </w:r>
            <w:r>
              <w:rPr>
                <w:rFonts w:hint="eastAsia" w:ascii="Times New Roman" w:hAnsi="Times New Roman" w:eastAsia="宋体" w:cs="Times New Roman"/>
                <w:b w:val="0"/>
                <w:bCs/>
                <w:color w:val="auto"/>
                <w:sz w:val="24"/>
                <w:lang w:val="en-US" w:eastAsia="zh-CN" w:bidi="ar"/>
              </w:rPr>
              <w:t>焊接烟尘G1</w:t>
            </w:r>
          </w:p>
          <w:p>
            <w:pPr>
              <w:spacing w:line="360" w:lineRule="auto"/>
              <w:ind w:firstLine="480" w:firstLineChars="200"/>
              <w:rPr>
                <w:rFonts w:hint="default" w:ascii="Times New Roman" w:hAnsi="Times New Roman" w:eastAsia="宋体" w:cs="Times New Roman"/>
                <w:b w:val="0"/>
                <w:bCs/>
                <w:color w:val="auto"/>
                <w:sz w:val="24"/>
                <w:lang w:bidi="ar"/>
              </w:rPr>
            </w:pPr>
            <w:r>
              <w:rPr>
                <w:rFonts w:hint="default" w:ascii="Times New Roman" w:hAnsi="Times New Roman" w:eastAsia="宋体" w:cs="Times New Roman"/>
                <w:b w:val="0"/>
                <w:bCs/>
                <w:color w:val="auto"/>
                <w:sz w:val="24"/>
                <w:lang w:bidi="ar"/>
              </w:rPr>
              <w:t>本项目焊接工段产生</w:t>
            </w:r>
            <w:r>
              <w:rPr>
                <w:rFonts w:hint="eastAsia" w:ascii="Times New Roman" w:hAnsi="Times New Roman" w:eastAsia="宋体" w:cs="Times New Roman"/>
                <w:b w:val="0"/>
                <w:bCs/>
                <w:color w:val="auto"/>
                <w:sz w:val="24"/>
                <w:lang w:val="en-US" w:eastAsia="zh-CN" w:bidi="ar"/>
              </w:rPr>
              <w:t>焊接烟尘，本项目</w:t>
            </w:r>
            <w:r>
              <w:rPr>
                <w:rFonts w:hint="default" w:ascii="Times New Roman" w:hAnsi="Times New Roman" w:eastAsia="宋体" w:cs="Times New Roman"/>
                <w:b w:val="0"/>
                <w:bCs/>
                <w:color w:val="auto"/>
                <w:sz w:val="24"/>
                <w:lang w:bidi="ar"/>
              </w:rPr>
              <w:t>低熔点的锡丝进行焊接，废气主要污染物以锡及其化合物计。生产车间内设</w:t>
            </w:r>
            <w:r>
              <w:rPr>
                <w:rFonts w:hint="eastAsia" w:ascii="Times New Roman" w:hAnsi="Times New Roman" w:eastAsia="宋体" w:cs="Times New Roman"/>
                <w:b w:val="0"/>
                <w:bCs/>
                <w:color w:val="auto"/>
                <w:sz w:val="24"/>
                <w:lang w:val="en-US" w:eastAsia="zh-CN" w:bidi="ar"/>
              </w:rPr>
              <w:t>4</w:t>
            </w:r>
            <w:r>
              <w:rPr>
                <w:rFonts w:hint="default" w:ascii="Times New Roman" w:hAnsi="Times New Roman" w:eastAsia="宋体" w:cs="Times New Roman"/>
                <w:b w:val="0"/>
                <w:bCs/>
                <w:color w:val="auto"/>
                <w:sz w:val="24"/>
                <w:lang w:bidi="ar"/>
              </w:rPr>
              <w:t>台焊机，焊接过程中有少量焊接烟尘产生。焊条的发尘量约100g/kg，焊条年用量为0.</w:t>
            </w:r>
            <w:r>
              <w:rPr>
                <w:rFonts w:hint="eastAsia" w:ascii="Times New Roman" w:hAnsi="Times New Roman" w:eastAsia="宋体" w:cs="Times New Roman"/>
                <w:b w:val="0"/>
                <w:bCs/>
                <w:color w:val="auto"/>
                <w:sz w:val="24"/>
                <w:lang w:val="en-US" w:eastAsia="zh-CN" w:bidi="ar"/>
              </w:rPr>
              <w:t>05</w:t>
            </w:r>
            <w:r>
              <w:rPr>
                <w:rFonts w:hint="default" w:ascii="Times New Roman" w:hAnsi="Times New Roman" w:eastAsia="宋体" w:cs="Times New Roman"/>
                <w:b w:val="0"/>
                <w:bCs/>
                <w:color w:val="auto"/>
                <w:sz w:val="24"/>
                <w:lang w:bidi="ar"/>
              </w:rPr>
              <w:t>t，则锡及其化合物产生量约0.0</w:t>
            </w:r>
            <w:r>
              <w:rPr>
                <w:rFonts w:hint="eastAsia" w:ascii="Times New Roman" w:hAnsi="Times New Roman" w:eastAsia="宋体" w:cs="Times New Roman"/>
                <w:b w:val="0"/>
                <w:bCs/>
                <w:color w:val="auto"/>
                <w:sz w:val="24"/>
                <w:lang w:val="en-US" w:eastAsia="zh-CN" w:bidi="ar"/>
              </w:rPr>
              <w:t>05</w:t>
            </w:r>
            <w:r>
              <w:rPr>
                <w:rFonts w:hint="default" w:ascii="Times New Roman" w:hAnsi="Times New Roman" w:eastAsia="宋体" w:cs="Times New Roman"/>
                <w:b w:val="0"/>
                <w:bCs/>
                <w:color w:val="auto"/>
                <w:sz w:val="24"/>
                <w:lang w:bidi="ar"/>
              </w:rPr>
              <w:t>t/a，焊接工序作业时间按每天8小时计，则产生速率约</w:t>
            </w:r>
            <w:r>
              <w:rPr>
                <w:rFonts w:hint="eastAsia" w:ascii="Times New Roman" w:hAnsi="Times New Roman" w:eastAsia="宋体" w:cs="Times New Roman"/>
                <w:b w:val="0"/>
                <w:bCs/>
                <w:color w:val="auto"/>
                <w:sz w:val="24"/>
                <w:lang w:val="en-US" w:eastAsia="zh-CN" w:bidi="ar"/>
              </w:rPr>
              <w:t>0.002</w:t>
            </w:r>
            <w:r>
              <w:rPr>
                <w:rFonts w:hint="default" w:ascii="Times New Roman" w:hAnsi="Times New Roman" w:eastAsia="宋体" w:cs="Times New Roman"/>
                <w:b w:val="0"/>
                <w:bCs/>
                <w:color w:val="auto"/>
                <w:sz w:val="24"/>
                <w:lang w:bidi="ar"/>
              </w:rPr>
              <w:t>kg/h。焊接烟尘经车间内移动式焊烟净化器进行捕集净化，净化后直接无组织排放。移动式焊烟净化器对烟尘</w:t>
            </w:r>
            <w:r>
              <w:rPr>
                <w:rFonts w:hint="eastAsia" w:ascii="Times New Roman" w:hAnsi="Times New Roman" w:eastAsia="宋体" w:cs="Times New Roman"/>
                <w:b w:val="0"/>
                <w:bCs/>
                <w:color w:val="auto"/>
                <w:sz w:val="24"/>
                <w:lang w:val="en-US" w:eastAsia="zh-CN" w:bidi="ar"/>
              </w:rPr>
              <w:t>收集效率约为90%，</w:t>
            </w:r>
            <w:r>
              <w:rPr>
                <w:rFonts w:hint="default" w:ascii="Times New Roman" w:hAnsi="Times New Roman" w:eastAsia="宋体" w:cs="Times New Roman"/>
                <w:b w:val="0"/>
                <w:bCs/>
                <w:color w:val="auto"/>
                <w:sz w:val="24"/>
                <w:lang w:bidi="ar"/>
              </w:rPr>
              <w:t>去除效率约为</w:t>
            </w:r>
            <w:r>
              <w:rPr>
                <w:rFonts w:hint="eastAsia" w:ascii="Times New Roman" w:hAnsi="Times New Roman" w:eastAsia="宋体" w:cs="Times New Roman"/>
                <w:b w:val="0"/>
                <w:bCs/>
                <w:color w:val="auto"/>
                <w:sz w:val="24"/>
                <w:lang w:val="en-US" w:eastAsia="zh-CN" w:bidi="ar"/>
              </w:rPr>
              <w:t>9</w:t>
            </w:r>
            <w:r>
              <w:rPr>
                <w:rFonts w:hint="default" w:ascii="Times New Roman" w:hAnsi="Times New Roman" w:eastAsia="宋体" w:cs="Times New Roman"/>
                <w:b w:val="0"/>
                <w:bCs/>
                <w:color w:val="auto"/>
                <w:sz w:val="24"/>
                <w:lang w:bidi="ar"/>
              </w:rPr>
              <w:t>0％，则烟尘排放量为0.00</w:t>
            </w:r>
            <w:r>
              <w:rPr>
                <w:rFonts w:hint="eastAsia" w:ascii="Times New Roman" w:hAnsi="Times New Roman" w:eastAsia="宋体" w:cs="Times New Roman"/>
                <w:b w:val="0"/>
                <w:bCs/>
                <w:color w:val="auto"/>
                <w:sz w:val="24"/>
                <w:lang w:val="en-US" w:eastAsia="zh-CN" w:bidi="ar"/>
              </w:rPr>
              <w:t>095</w:t>
            </w:r>
            <w:r>
              <w:rPr>
                <w:rFonts w:hint="default" w:ascii="Times New Roman" w:hAnsi="Times New Roman" w:eastAsia="宋体" w:cs="Times New Roman"/>
                <w:b w:val="0"/>
                <w:bCs/>
                <w:color w:val="auto"/>
                <w:sz w:val="24"/>
                <w:lang w:bidi="ar"/>
              </w:rPr>
              <w:t>t/a。</w:t>
            </w:r>
          </w:p>
          <w:p>
            <w:pPr>
              <w:spacing w:line="360" w:lineRule="auto"/>
              <w:ind w:firstLine="480" w:firstLineChars="200"/>
              <w:rPr>
                <w:rFonts w:hint="default" w:ascii="Times New Roman" w:hAnsi="Times New Roman" w:eastAsia="宋体" w:cs="Times New Roman"/>
                <w:b w:val="0"/>
                <w:bCs/>
                <w:color w:val="auto"/>
                <w:sz w:val="24"/>
                <w:lang w:bidi="ar"/>
              </w:rPr>
            </w:pPr>
            <w:r>
              <w:rPr>
                <w:rFonts w:hint="eastAsia" w:ascii="Times New Roman" w:hAnsi="Times New Roman" w:eastAsia="宋体" w:cs="Times New Roman"/>
                <w:b w:val="0"/>
                <w:bCs/>
                <w:color w:val="auto"/>
                <w:sz w:val="24"/>
                <w:lang w:val="en-US" w:eastAsia="zh-CN" w:bidi="ar"/>
              </w:rPr>
              <w:t>②注塑废气G2</w:t>
            </w:r>
          </w:p>
          <w:p>
            <w:pPr>
              <w:spacing w:line="360" w:lineRule="auto"/>
              <w:ind w:firstLine="480" w:firstLineChars="200"/>
              <w:rPr>
                <w:rFonts w:hint="eastAsia" w:ascii="Times New Roman" w:hAnsi="Times New Roman" w:eastAsia="宋体" w:cs="Times New Roman"/>
                <w:b w:val="0"/>
                <w:bCs/>
                <w:color w:val="auto"/>
                <w:sz w:val="24"/>
                <w:lang w:val="en-US" w:eastAsia="zh-CN" w:bidi="ar"/>
              </w:rPr>
            </w:pPr>
            <w:r>
              <w:rPr>
                <w:rFonts w:hint="default" w:ascii="Times New Roman" w:hAnsi="Times New Roman" w:eastAsia="宋体" w:cs="Times New Roman"/>
                <w:b w:val="0"/>
                <w:bCs/>
                <w:color w:val="auto"/>
                <w:sz w:val="24"/>
                <w:lang w:bidi="ar"/>
              </w:rPr>
              <w:t>本项目</w:t>
            </w:r>
            <w:r>
              <w:rPr>
                <w:rFonts w:hint="eastAsia" w:ascii="Times New Roman" w:hAnsi="Times New Roman" w:eastAsia="宋体" w:cs="Times New Roman"/>
                <w:b w:val="0"/>
                <w:bCs/>
                <w:color w:val="auto"/>
                <w:sz w:val="24"/>
                <w:lang w:val="en-US" w:eastAsia="zh-CN" w:bidi="ar"/>
              </w:rPr>
              <w:t>使用注塑机进行注塑，产生G2注塑废气，以非甲烷总烃计。据《美国环保局空气污染物排放和控制手册》p252，注塑加热分解产生单体按100~200克/吨产品计，即仅占总量的0.01~0.02%，本项目取0.015%。本项目PVC粒子年用量为2t，则非甲烷总烃产生量为0.0003t/a。本项目注塑废气产生量很少，因此，注塑废气经移动式活性炭吸附装置处理后在车间内无组织排放。</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2、废水</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bidi="ar"/>
              </w:rPr>
              <w:t>（1）</w:t>
            </w:r>
            <w:r>
              <w:rPr>
                <w:rFonts w:hint="eastAsia" w:ascii="Times New Roman" w:hAnsi="Times New Roman" w:eastAsia="宋体" w:cs="Times New Roman"/>
                <w:color w:val="auto"/>
                <w:sz w:val="24"/>
                <w:lang w:val="en-US" w:eastAsia="zh-CN" w:bidi="ar"/>
              </w:rPr>
              <w:t>生产废水</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本项目无生产废水。</w:t>
            </w:r>
          </w:p>
          <w:p>
            <w:pPr>
              <w:spacing w:line="360" w:lineRule="auto"/>
              <w:ind w:firstLine="480" w:firstLineChars="200"/>
              <w:rPr>
                <w:rFonts w:hint="default" w:ascii="Times New Roman" w:hAnsi="Times New Roman" w:eastAsia="宋体" w:cs="Times New Roman"/>
                <w:color w:val="auto"/>
                <w:sz w:val="24"/>
                <w:lang w:bidi="ar"/>
              </w:rPr>
            </w:pPr>
            <w:r>
              <w:rPr>
                <w:rFonts w:hint="eastAsia"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2</w:t>
            </w:r>
            <w:r>
              <w:rPr>
                <w:rFonts w:hint="eastAsia"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生活污水</w:t>
            </w:r>
          </w:p>
          <w:p>
            <w:pPr>
              <w:spacing w:line="360" w:lineRule="auto"/>
              <w:ind w:firstLine="480" w:firstLineChars="200"/>
              <w:rPr>
                <w:rFonts w:hint="default" w:ascii="Times New Roman" w:hAnsi="Times New Roman" w:eastAsia="宋体" w:cs="Times New Roman"/>
                <w:color w:val="auto"/>
                <w:sz w:val="24"/>
                <w:szCs w:val="24"/>
                <w:lang w:val="en-US" w:eastAsia="zh-CN" w:bidi="ar"/>
              </w:rPr>
            </w:pPr>
            <w:r>
              <w:rPr>
                <w:rFonts w:hint="default" w:ascii="Times New Roman" w:hAnsi="Times New Roman" w:eastAsia="宋体" w:cs="Times New Roman"/>
                <w:color w:val="auto"/>
                <w:sz w:val="24"/>
                <w:lang w:bidi="ar"/>
              </w:rPr>
              <w:t xml:space="preserve">本项目新增员工 </w:t>
            </w:r>
            <w:r>
              <w:rPr>
                <w:rFonts w:hint="eastAsia" w:ascii="Times New Roman" w:hAnsi="Times New Roman" w:eastAsia="宋体" w:cs="Times New Roman"/>
                <w:color w:val="auto"/>
                <w:sz w:val="24"/>
                <w:lang w:val="en-US" w:eastAsia="zh-CN" w:bidi="ar"/>
              </w:rPr>
              <w:t>1</w:t>
            </w:r>
            <w:r>
              <w:rPr>
                <w:rFonts w:hint="default" w:ascii="Times New Roman" w:hAnsi="Times New Roman" w:eastAsia="宋体" w:cs="Times New Roman"/>
                <w:color w:val="auto"/>
                <w:sz w:val="24"/>
                <w:lang w:bidi="ar"/>
              </w:rPr>
              <w:t>0 人，年均工作日约</w:t>
            </w:r>
            <w:r>
              <w:rPr>
                <w:rFonts w:hint="eastAsia" w:ascii="Times New Roman" w:hAnsi="Times New Roman" w:eastAsia="宋体" w:cs="Times New Roman"/>
                <w:color w:val="auto"/>
                <w:sz w:val="24"/>
                <w:lang w:val="en-US" w:eastAsia="zh-CN" w:bidi="ar"/>
              </w:rPr>
              <w:t>30</w:t>
            </w:r>
            <w:r>
              <w:rPr>
                <w:rFonts w:hint="default" w:ascii="Times New Roman" w:hAnsi="Times New Roman" w:eastAsia="宋体" w:cs="Times New Roman"/>
                <w:color w:val="auto"/>
                <w:sz w:val="24"/>
                <w:lang w:bidi="ar"/>
              </w:rPr>
              <w:t>0 天，</w:t>
            </w:r>
            <w:r>
              <w:rPr>
                <w:rFonts w:hint="eastAsia" w:ascii="Times New Roman" w:hAnsi="Times New Roman" w:eastAsia="宋体" w:cs="Times New Roman"/>
                <w:color w:val="auto"/>
                <w:sz w:val="24"/>
                <w:lang w:val="en-US" w:eastAsia="zh-CN" w:bidi="ar"/>
              </w:rPr>
              <w:t>一</w:t>
            </w:r>
            <w:r>
              <w:rPr>
                <w:rFonts w:hint="default" w:ascii="Times New Roman" w:hAnsi="Times New Roman" w:eastAsia="宋体" w:cs="Times New Roman"/>
                <w:color w:val="auto"/>
                <w:sz w:val="24"/>
                <w:lang w:bidi="ar"/>
              </w:rPr>
              <w:t xml:space="preserve">班制，每班 8h，用水量以 100L/d·人计，用水量为 </w:t>
            </w:r>
            <w:r>
              <w:rPr>
                <w:rFonts w:hint="eastAsia" w:ascii="Times New Roman" w:hAnsi="Times New Roman" w:eastAsia="宋体" w:cs="Times New Roman"/>
                <w:color w:val="auto"/>
                <w:sz w:val="24"/>
                <w:lang w:val="en-US" w:eastAsia="zh-CN" w:bidi="ar"/>
              </w:rPr>
              <w:t>30</w:t>
            </w:r>
            <w:r>
              <w:rPr>
                <w:rFonts w:hint="default" w:ascii="Times New Roman" w:hAnsi="Times New Roman" w:eastAsia="宋体" w:cs="Times New Roman"/>
                <w:color w:val="auto"/>
                <w:sz w:val="24"/>
                <w:lang w:bidi="ar"/>
              </w:rPr>
              <w:t xml:space="preserve">0t/a，产污率以 0.8 计，则生活污水产生量约为 </w:t>
            </w:r>
            <w:r>
              <w:rPr>
                <w:rFonts w:hint="eastAsia" w:ascii="Times New Roman" w:hAnsi="Times New Roman" w:eastAsia="宋体" w:cs="Times New Roman"/>
                <w:color w:val="auto"/>
                <w:sz w:val="24"/>
                <w:lang w:val="en-US" w:eastAsia="zh-CN" w:bidi="ar"/>
              </w:rPr>
              <w:t>24</w:t>
            </w:r>
            <w:r>
              <w:rPr>
                <w:rFonts w:hint="default" w:ascii="Times New Roman" w:hAnsi="Times New Roman" w:eastAsia="宋体" w:cs="Times New Roman"/>
                <w:color w:val="auto"/>
                <w:sz w:val="24"/>
                <w:lang w:bidi="ar"/>
              </w:rPr>
              <w:t>0</w:t>
            </w:r>
            <w:r>
              <w:rPr>
                <w:rFonts w:hint="default" w:ascii="Times New Roman" w:hAnsi="Times New Roman" w:eastAsia="宋体" w:cs="Times New Roman"/>
                <w:color w:val="auto"/>
                <w:sz w:val="24"/>
                <w:lang w:val="en-US" w:eastAsia="zh-CN" w:bidi="ar"/>
              </w:rPr>
              <w:t>m</w:t>
            </w:r>
            <w:r>
              <w:rPr>
                <w:rFonts w:hint="default" w:ascii="Times New Roman" w:hAnsi="Times New Roman" w:eastAsia="宋体" w:cs="Times New Roman"/>
                <w:color w:val="auto"/>
                <w:sz w:val="24"/>
                <w:vertAlign w:val="superscript"/>
                <w:lang w:val="en-US" w:eastAsia="zh-CN" w:bidi="ar"/>
              </w:rPr>
              <w:t>3</w:t>
            </w:r>
            <w:r>
              <w:rPr>
                <w:rFonts w:hint="default" w:ascii="Times New Roman" w:hAnsi="Times New Roman" w:eastAsia="宋体" w:cs="Times New Roman"/>
                <w:color w:val="auto"/>
                <w:sz w:val="24"/>
                <w:lang w:bidi="ar"/>
              </w:rPr>
              <w:t>/a，其中COD、SS、NH</w:t>
            </w:r>
            <w:r>
              <w:rPr>
                <w:rFonts w:hint="default" w:ascii="Times New Roman" w:hAnsi="Times New Roman" w:eastAsia="宋体" w:cs="Times New Roman"/>
                <w:color w:val="auto"/>
                <w:sz w:val="24"/>
                <w:vertAlign w:val="subscript"/>
                <w:lang w:bidi="ar"/>
              </w:rPr>
              <w:t>3</w:t>
            </w:r>
            <w:r>
              <w:rPr>
                <w:rFonts w:hint="default" w:ascii="Times New Roman" w:hAnsi="Times New Roman" w:eastAsia="宋体" w:cs="Times New Roman"/>
                <w:color w:val="auto"/>
                <w:sz w:val="24"/>
                <w:lang w:bidi="ar"/>
              </w:rPr>
              <w:t>-N、TP、TN 的产生浓度分别为 400mg/L、300mg/L、40mg/L、5mg/L、60mg/L。</w:t>
            </w:r>
            <w:r>
              <w:rPr>
                <w:rFonts w:hint="default" w:ascii="Times New Roman" w:hAnsi="Times New Roman" w:eastAsia="宋体" w:cs="Times New Roman"/>
                <w:color w:val="auto"/>
                <w:sz w:val="24"/>
                <w:lang w:val="en-US" w:eastAsia="zh-CN" w:bidi="ar"/>
              </w:rPr>
              <w:t>本项目生活污水经园区内化粪池处理后排入市政管网，最终进武进城区污水处理厂集中处</w:t>
            </w:r>
            <w:r>
              <w:rPr>
                <w:rFonts w:hint="default" w:ascii="Times New Roman" w:hAnsi="Times New Roman" w:eastAsia="宋体" w:cs="Times New Roman"/>
                <w:color w:val="auto"/>
                <w:sz w:val="24"/>
                <w:szCs w:val="24"/>
                <w:lang w:val="en-US" w:eastAsia="zh-CN" w:bidi="ar"/>
              </w:rPr>
              <w:t>理。</w:t>
            </w:r>
          </w:p>
          <w:p>
            <w:pPr>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本项目生活污水产生及排放情况见表5-4。</w:t>
            </w:r>
          </w:p>
          <w:p>
            <w:pPr>
              <w:pStyle w:val="2"/>
              <w:ind w:firstLine="482"/>
              <w:rPr>
                <w:rFonts w:hint="default" w:ascii="Times New Roman" w:hAnsi="Times New Roman" w:cs="Times New Roman"/>
                <w:color w:val="auto"/>
              </w:rPr>
            </w:pPr>
            <w:r>
              <w:rPr>
                <w:rFonts w:hint="default" w:ascii="Times New Roman" w:hAnsi="Times New Roman" w:cs="Times New Roman"/>
                <w:color w:val="auto"/>
              </w:rPr>
              <w:t>表5-4 本项目生活污水污染物产生及排放状况</w:t>
            </w:r>
          </w:p>
          <w:tbl>
            <w:tblPr>
              <w:tblStyle w:val="14"/>
              <w:tblW w:w="8286" w:type="dxa"/>
              <w:tblInd w:w="0" w:type="dxa"/>
              <w:tblLayout w:type="fixed"/>
              <w:tblCellMar>
                <w:top w:w="0" w:type="dxa"/>
                <w:left w:w="108" w:type="dxa"/>
                <w:bottom w:w="0" w:type="dxa"/>
                <w:right w:w="108" w:type="dxa"/>
              </w:tblCellMar>
            </w:tblPr>
            <w:tblGrid>
              <w:gridCol w:w="826"/>
              <w:gridCol w:w="738"/>
              <w:gridCol w:w="926"/>
              <w:gridCol w:w="826"/>
              <w:gridCol w:w="827"/>
              <w:gridCol w:w="826"/>
              <w:gridCol w:w="839"/>
              <w:gridCol w:w="826"/>
              <w:gridCol w:w="826"/>
              <w:gridCol w:w="826"/>
            </w:tblGrid>
            <w:tr>
              <w:tblPrEx>
                <w:tblLayout w:type="fixed"/>
                <w:tblCellMar>
                  <w:top w:w="0" w:type="dxa"/>
                  <w:left w:w="108" w:type="dxa"/>
                  <w:bottom w:w="0" w:type="dxa"/>
                  <w:right w:w="108" w:type="dxa"/>
                </w:tblCellMar>
              </w:tblPrEx>
              <w:trPr>
                <w:trHeight w:val="285" w:hRule="atLeast"/>
              </w:trPr>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废水来源</w:t>
                  </w:r>
                </w:p>
              </w:tc>
              <w:tc>
                <w:tcPr>
                  <w:tcW w:w="738"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废水量t/a</w:t>
                  </w:r>
                </w:p>
              </w:tc>
              <w:tc>
                <w:tcPr>
                  <w:tcW w:w="2579" w:type="dxa"/>
                  <w:gridSpan w:val="3"/>
                  <w:tcBorders>
                    <w:top w:val="single" w:color="000000" w:sz="8" w:space="0"/>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污染物产生量</w:t>
                  </w:r>
                </w:p>
              </w:tc>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采取的处理方式</w:t>
                  </w:r>
                </w:p>
              </w:tc>
              <w:tc>
                <w:tcPr>
                  <w:tcW w:w="2491" w:type="dxa"/>
                  <w:gridSpan w:val="3"/>
                  <w:tcBorders>
                    <w:top w:val="single" w:color="000000" w:sz="8" w:space="0"/>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污染物排放情况</w:t>
                  </w:r>
                </w:p>
              </w:tc>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排放去向</w:t>
                  </w:r>
                </w:p>
              </w:tc>
            </w:tr>
            <w:tr>
              <w:tblPrEx>
                <w:tblLayout w:type="fixed"/>
                <w:tblCellMar>
                  <w:top w:w="0" w:type="dxa"/>
                  <w:left w:w="108" w:type="dxa"/>
                  <w:bottom w:w="0" w:type="dxa"/>
                  <w:right w:w="108" w:type="dxa"/>
                </w:tblCellMar>
              </w:tblPrEx>
              <w:trPr>
                <w:trHeight w:val="555" w:hRule="atLeast"/>
              </w:trPr>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污染物名称</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浓度mg/L</w:t>
                  </w:r>
                </w:p>
              </w:tc>
              <w:tc>
                <w:tcPr>
                  <w:tcW w:w="827"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产生量t/a</w:t>
                  </w:r>
                </w:p>
              </w:tc>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污染物名称</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浓度mg/L</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排放量t/a</w:t>
                  </w:r>
                </w:p>
              </w:tc>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生活污水</w:t>
                  </w:r>
                </w:p>
              </w:tc>
              <w:tc>
                <w:tcPr>
                  <w:tcW w:w="738"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24</w:t>
                  </w:r>
                  <w:r>
                    <w:rPr>
                      <w:rFonts w:hint="default" w:ascii="Times New Roman" w:hAnsi="Times New Roman" w:cs="Times New Roman"/>
                      <w:color w:val="auto"/>
                      <w:kern w:val="0"/>
                      <w:sz w:val="21"/>
                      <w:szCs w:val="21"/>
                      <w:lang w:val="en-US" w:eastAsia="zh-CN"/>
                    </w:rPr>
                    <w:t>0</w:t>
                  </w: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COD</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400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0.096</w:t>
                  </w:r>
                </w:p>
              </w:tc>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化粪池</w:t>
                  </w: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COD</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武进城区污水处理厂</w:t>
                  </w: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SS</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300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0.072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SS</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31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0.0096</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3</w:t>
                  </w:r>
                  <w:r>
                    <w:rPr>
                      <w:rFonts w:hint="default" w:ascii="Times New Roman" w:hAnsi="Times New Roman" w:cs="Times New Roman"/>
                      <w:color w:val="auto"/>
                      <w:kern w:val="0"/>
                      <w:sz w:val="21"/>
                      <w:szCs w:val="21"/>
                    </w:rPr>
                    <w:t>5</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TP</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5</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TP</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60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0.0144</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bl>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本项目水平衡图见下图：</w:t>
            </w:r>
          </w:p>
          <w:p>
            <w:pPr>
              <w:pStyle w:val="17"/>
              <w:widowControl/>
              <w:jc w:val="center"/>
            </w:pPr>
            <w:bookmarkStart w:id="0" w:name="OLE_LINK2"/>
            <w:bookmarkStart w:id="1" w:name="OLE_LINK1"/>
          </w:p>
          <w:p>
            <w:pPr>
              <w:pStyle w:val="17"/>
              <w:widowControl/>
              <w:jc w:val="center"/>
              <w:rPr>
                <w:rFonts w:hint="default" w:ascii="Times New Roman" w:hAnsi="Times New Roman" w:cs="Times New Roman"/>
                <w:color w:val="auto"/>
              </w:rPr>
            </w:pPr>
            <w:r>
              <w:object>
                <v:shape id="_x0000_i1026" o:spt="75" type="#_x0000_t75" style="height:89.35pt;width:348.6pt;" o:ole="t" filled="f" o:preferrelative="t" stroked="f" coordsize="21600,21600">
                  <v:path/>
                  <v:fill on="f" focussize="0,0"/>
                  <v:stroke on="f"/>
                  <v:imagedata r:id="rId8" croptop="-463f" cropright="8188f" cropbottom="25838f" o:title=""/>
                  <o:lock v:ext="edit" aspectratio="t"/>
                  <w10:wrap type="none"/>
                  <w10:anchorlock/>
                </v:shape>
                <o:OLEObject Type="Embed" ProgID="Visio.Drawing.11" ShapeID="_x0000_i1026" DrawAspect="Content" ObjectID="_1468075726" r:id="rId7">
                  <o:LockedField>false</o:LockedField>
                </o:OLEObject>
              </w:object>
            </w:r>
            <w:bookmarkEnd w:id="0"/>
            <w:bookmarkEnd w:id="1"/>
          </w:p>
          <w:p>
            <w:pPr>
              <w:pStyle w:val="17"/>
              <w:widowControl/>
              <w:jc w:val="center"/>
              <w:rPr>
                <w:rFonts w:hint="default" w:ascii="Times New Roman" w:hAnsi="Times New Roman" w:cs="Times New Roman"/>
                <w:b/>
                <w:color w:val="auto"/>
              </w:rPr>
            </w:pPr>
            <w:r>
              <w:rPr>
                <w:rFonts w:hint="default" w:ascii="Times New Roman" w:hAnsi="Times New Roman" w:cs="Times New Roman"/>
                <w:b/>
                <w:color w:val="auto"/>
              </w:rPr>
              <w:t>图5-</w:t>
            </w:r>
            <w:r>
              <w:rPr>
                <w:rFonts w:hint="default" w:ascii="Times New Roman" w:hAnsi="Times New Roman" w:cs="Times New Roman"/>
                <w:b/>
                <w:color w:val="auto"/>
                <w:lang w:val="en-US" w:eastAsia="zh-CN"/>
              </w:rPr>
              <w:t>4</w:t>
            </w:r>
            <w:r>
              <w:rPr>
                <w:rFonts w:hint="default" w:ascii="Times New Roman" w:hAnsi="Times New Roman" w:cs="Times New Roman"/>
                <w:b/>
                <w:color w:val="auto"/>
              </w:rPr>
              <w:t xml:space="preserve"> 水平衡图（m</w:t>
            </w:r>
            <w:r>
              <w:rPr>
                <w:rFonts w:hint="default" w:ascii="Times New Roman" w:hAnsi="Times New Roman" w:cs="Times New Roman"/>
                <w:b/>
                <w:color w:val="auto"/>
                <w:vertAlign w:val="superscript"/>
              </w:rPr>
              <w:t>3</w:t>
            </w:r>
            <w:r>
              <w:rPr>
                <w:rFonts w:hint="default" w:ascii="Times New Roman" w:hAnsi="Times New Roman" w:cs="Times New Roman"/>
                <w:b/>
                <w:color w:val="auto"/>
              </w:rPr>
              <w:t>/a）</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3、噪声</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本项目噪声源主要是</w:t>
            </w:r>
            <w:r>
              <w:rPr>
                <w:rFonts w:hint="default" w:ascii="Times New Roman" w:hAnsi="Times New Roman" w:eastAsia="宋体" w:cs="Times New Roman"/>
                <w:color w:val="auto"/>
                <w:sz w:val="24"/>
                <w:lang w:val="en-US" w:eastAsia="zh-CN" w:bidi="ar"/>
              </w:rPr>
              <w:t>剥线机、注塑机、压接机</w:t>
            </w:r>
            <w:r>
              <w:rPr>
                <w:rFonts w:hint="default" w:ascii="Times New Roman" w:hAnsi="Times New Roman" w:eastAsia="宋体" w:cs="Times New Roman"/>
                <w:color w:val="auto"/>
                <w:sz w:val="24"/>
                <w:lang w:bidi="ar"/>
              </w:rPr>
              <w:t>等设备，本项目主要污染源见表5-</w:t>
            </w:r>
            <w:r>
              <w:rPr>
                <w:rFonts w:hint="default" w:ascii="Times New Roman" w:hAnsi="Times New Roman" w:eastAsia="宋体" w:cs="Times New Roman"/>
                <w:color w:val="auto"/>
                <w:sz w:val="24"/>
                <w:lang w:val="en-US" w:eastAsia="zh-CN" w:bidi="ar"/>
              </w:rPr>
              <w:t>6</w:t>
            </w:r>
            <w:r>
              <w:rPr>
                <w:rFonts w:hint="default" w:ascii="Times New Roman" w:hAnsi="Times New Roman" w:eastAsia="宋体" w:cs="Times New Roman"/>
                <w:color w:val="auto"/>
                <w:sz w:val="24"/>
                <w:lang w:bidi="ar"/>
              </w:rPr>
              <w:t>。</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default" w:ascii="Times New Roman" w:hAnsi="Times New Roman" w:cs="Times New Roman"/>
                <w:color w:val="auto"/>
                <w:lang w:val="en-US" w:eastAsia="zh-CN"/>
              </w:rPr>
              <w:t>6</w:t>
            </w:r>
            <w:r>
              <w:rPr>
                <w:rFonts w:hint="default" w:ascii="Times New Roman" w:hAnsi="Times New Roman" w:cs="Times New Roman"/>
                <w:color w:val="auto"/>
              </w:rPr>
              <w:t>本项目主要污染源一览表</w:t>
            </w:r>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384"/>
              <w:gridCol w:w="1419"/>
              <w:gridCol w:w="1814"/>
              <w:gridCol w:w="1004"/>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138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噪声源</w:t>
                  </w:r>
                </w:p>
              </w:tc>
              <w:tc>
                <w:tcPr>
                  <w:tcW w:w="1419"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数量（个/台）</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单台等效声级（dB（A））</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位置</w:t>
                  </w:r>
                </w:p>
              </w:tc>
              <w:tc>
                <w:tcPr>
                  <w:tcW w:w="2079"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混合噪声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全自动断剥线机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default" w:ascii="Times New Roman" w:hAnsi="Times New Roman" w:eastAsia="宋体" w:cs="Times New Roman"/>
                      <w:b w:val="0"/>
                      <w:color w:val="auto"/>
                      <w:sz w:val="21"/>
                      <w:szCs w:val="21"/>
                      <w:lang w:val="en-US" w:eastAsia="zh-CN" w:bidi="ar"/>
                    </w:rPr>
                    <w:t>1</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2079" w:type="dxa"/>
                  <w:vMerge w:val="restart"/>
                  <w:tcBorders>
                    <w:top w:val="single" w:color="auto" w:sz="4" w:space="0"/>
                    <w:left w:val="nil"/>
                    <w:right w:val="single" w:color="auto" w:sz="4" w:space="0"/>
                  </w:tcBorders>
                  <w:shd w:val="clear" w:color="auto" w:fill="auto"/>
                  <w:vAlign w:val="center"/>
                </w:tcPr>
                <w:p>
                  <w:pPr>
                    <w:pStyle w:val="23"/>
                    <w:widowControl/>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立式气动剥线机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Style w:val="18"/>
                      <w:rFonts w:hint="eastAsia" w:ascii="Times New Roman" w:hAnsi="Times New Roman" w:eastAsia="宋体" w:cs="Times New Roman"/>
                      <w:b w:val="0"/>
                      <w:color w:val="auto"/>
                      <w:sz w:val="21"/>
                      <w:szCs w:val="21"/>
                      <w:lang w:val="en-US" w:eastAsia="zh-CN" w:bidi="ar"/>
                    </w:rPr>
                    <w:t>3</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2079"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立式注塑机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eastAsia" w:ascii="Times New Roman" w:hAnsi="Times New Roman" w:eastAsia="宋体" w:cs="Times New Roman"/>
                      <w:b w:val="0"/>
                      <w:color w:val="auto"/>
                      <w:sz w:val="21"/>
                      <w:szCs w:val="21"/>
                      <w:lang w:val="en-US" w:eastAsia="zh-CN" w:bidi="ar"/>
                    </w:rPr>
                    <w:t>3</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w:t>
                  </w:r>
                  <w:r>
                    <w:rPr>
                      <w:rFonts w:hint="default" w:ascii="Times New Roman" w:hAnsi="Times New Roman" w:cs="Times New Roman"/>
                      <w:color w:val="auto"/>
                      <w:sz w:val="21"/>
                      <w:szCs w:val="21"/>
                      <w:lang w:val="en-US" w:eastAsia="zh-CN"/>
                    </w:rPr>
                    <w:t>0</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2079"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i w:val="0"/>
                      <w:color w:val="000000"/>
                      <w:sz w:val="21"/>
                      <w:szCs w:val="21"/>
                      <w:u w:val="none"/>
                      <w:lang w:val="en-US" w:eastAsia="zh-CN"/>
                    </w:rPr>
                    <w:t>压接机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eastAsia" w:ascii="Times New Roman" w:hAnsi="Times New Roman" w:eastAsia="宋体" w:cs="Times New Roman"/>
                      <w:b w:val="0"/>
                      <w:color w:val="auto"/>
                      <w:sz w:val="21"/>
                      <w:szCs w:val="21"/>
                      <w:lang w:val="en-US" w:eastAsia="zh-CN" w:bidi="ar"/>
                    </w:rPr>
                    <w:t>3</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w:t>
                  </w:r>
                  <w:r>
                    <w:rPr>
                      <w:rFonts w:hint="default" w:ascii="Times New Roman" w:hAnsi="Times New Roman" w:cs="Times New Roman"/>
                      <w:color w:val="auto"/>
                      <w:sz w:val="21"/>
                      <w:szCs w:val="21"/>
                      <w:lang w:val="en-US" w:eastAsia="zh-CN"/>
                    </w:rPr>
                    <w:t>5</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2079" w:type="dxa"/>
                  <w:vMerge w:val="continue"/>
                  <w:tcBorders>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bl>
          <w:p>
            <w:pPr>
              <w:spacing w:line="360" w:lineRule="auto"/>
              <w:ind w:firstLine="482" w:firstLineChars="200"/>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lang w:bidi="ar"/>
              </w:rPr>
              <w:t>4、固体废物</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bidi="ar"/>
              </w:rPr>
              <w:t>本项目固体废物主要有</w:t>
            </w:r>
            <w:r>
              <w:rPr>
                <w:rFonts w:hint="eastAsia" w:ascii="Times New Roman" w:hAnsi="Times New Roman" w:eastAsia="宋体" w:cs="Times New Roman"/>
                <w:color w:val="auto"/>
                <w:sz w:val="24"/>
                <w:lang w:val="en-US" w:eastAsia="zh-CN" w:bidi="ar"/>
              </w:rPr>
              <w:t>边角料和不合格产品S1、S2；废包装材料</w:t>
            </w:r>
            <w:r>
              <w:rPr>
                <w:rFonts w:hint="default" w:ascii="Times New Roman" w:hAnsi="Times New Roman" w:eastAsia="宋体" w:cs="Times New Roman"/>
                <w:color w:val="auto"/>
                <w:sz w:val="24"/>
                <w:lang w:val="en-US" w:eastAsia="zh-CN" w:bidi="ar"/>
              </w:rPr>
              <w:t>；废活性炭；</w:t>
            </w:r>
            <w:r>
              <w:rPr>
                <w:rFonts w:hint="eastAsia" w:ascii="Times New Roman" w:hAnsi="Times New Roman" w:eastAsia="宋体" w:cs="Times New Roman"/>
                <w:color w:val="auto"/>
                <w:sz w:val="24"/>
                <w:lang w:val="en-US" w:eastAsia="zh-CN" w:bidi="ar"/>
              </w:rPr>
              <w:t>废滤网；</w:t>
            </w:r>
            <w:r>
              <w:rPr>
                <w:rFonts w:hint="default" w:ascii="Times New Roman" w:hAnsi="Times New Roman" w:eastAsia="宋体" w:cs="Times New Roman"/>
                <w:color w:val="auto"/>
                <w:sz w:val="24"/>
                <w:lang w:val="en-US" w:eastAsia="zh-CN" w:bidi="ar"/>
              </w:rPr>
              <w:t>职工生活垃圾。</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①</w:t>
            </w:r>
            <w:r>
              <w:rPr>
                <w:rFonts w:hint="eastAsia" w:ascii="Times New Roman" w:hAnsi="Times New Roman" w:eastAsia="宋体" w:cs="Times New Roman"/>
                <w:color w:val="auto"/>
                <w:sz w:val="24"/>
                <w:lang w:val="en-US" w:eastAsia="zh-CN" w:bidi="ar"/>
              </w:rPr>
              <w:t>边角料和不合格产品</w:t>
            </w:r>
            <w:r>
              <w:rPr>
                <w:rFonts w:hint="default" w:ascii="Times New Roman" w:hAnsi="Times New Roman" w:eastAsia="宋体" w:cs="Times New Roman"/>
                <w:color w:val="auto"/>
                <w:sz w:val="24"/>
                <w:lang w:val="en-US" w:eastAsia="zh-CN" w:bidi="ar"/>
              </w:rPr>
              <w:t xml:space="preserve"> </w:t>
            </w:r>
            <w:r>
              <w:rPr>
                <w:rFonts w:hint="eastAsia" w:ascii="Times New Roman" w:hAnsi="Times New Roman" w:eastAsia="宋体" w:cs="Times New Roman"/>
                <w:color w:val="auto"/>
                <w:sz w:val="24"/>
                <w:lang w:val="en-US" w:eastAsia="zh-CN" w:bidi="ar"/>
              </w:rPr>
              <w:t>S1、S2</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w:t>
            </w:r>
            <w:r>
              <w:rPr>
                <w:rFonts w:hint="eastAsia" w:ascii="Times New Roman" w:hAnsi="Times New Roman" w:eastAsia="宋体" w:cs="Times New Roman"/>
                <w:color w:val="auto"/>
                <w:sz w:val="24"/>
                <w:lang w:val="en-US" w:eastAsia="zh-CN" w:bidi="ar"/>
              </w:rPr>
              <w:t>组装和检测工段产生边角料和不合格产品</w:t>
            </w:r>
            <w:r>
              <w:rPr>
                <w:rFonts w:hint="default" w:ascii="Times New Roman" w:hAnsi="Times New Roman" w:eastAsia="宋体" w:cs="Times New Roman"/>
                <w:color w:val="auto"/>
                <w:sz w:val="24"/>
                <w:lang w:val="en-US" w:eastAsia="zh-CN" w:bidi="ar"/>
              </w:rPr>
              <w:t xml:space="preserve"> </w:t>
            </w:r>
            <w:r>
              <w:rPr>
                <w:rFonts w:hint="eastAsia" w:ascii="Times New Roman" w:hAnsi="Times New Roman" w:eastAsia="宋体" w:cs="Times New Roman"/>
                <w:color w:val="auto"/>
                <w:sz w:val="24"/>
                <w:lang w:val="en-US" w:eastAsia="zh-CN" w:bidi="ar"/>
              </w:rPr>
              <w:t>S1、S2</w:t>
            </w:r>
            <w:r>
              <w:rPr>
                <w:rFonts w:hint="eastAsia"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产生量约为</w:t>
            </w:r>
            <w:r>
              <w:rPr>
                <w:rFonts w:hint="default" w:ascii="Times New Roman" w:hAnsi="Times New Roman" w:eastAsia="宋体" w:cs="Times New Roman"/>
                <w:color w:val="auto"/>
                <w:sz w:val="24"/>
                <w:lang w:val="en-US" w:eastAsia="zh-CN" w:bidi="ar"/>
              </w:rPr>
              <w:t>0.5t/a。</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②</w:t>
            </w:r>
            <w:r>
              <w:rPr>
                <w:rFonts w:hint="eastAsia" w:ascii="Times New Roman" w:hAnsi="Times New Roman" w:eastAsia="宋体" w:cs="Times New Roman"/>
                <w:color w:val="auto"/>
                <w:sz w:val="24"/>
                <w:lang w:val="en-US" w:eastAsia="zh-CN" w:bidi="ar"/>
              </w:rPr>
              <w:t>废包装材料</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本项目产生一定量的废包装材料，其产生量约为0.</w:t>
            </w:r>
            <w:r>
              <w:rPr>
                <w:rFonts w:hint="eastAsia" w:ascii="Times New Roman" w:hAnsi="Times New Roman" w:eastAsia="宋体" w:cs="Times New Roman"/>
                <w:color w:val="auto"/>
                <w:sz w:val="24"/>
                <w:lang w:val="en-US" w:eastAsia="zh-CN" w:bidi="ar"/>
              </w:rPr>
              <w:t>02</w:t>
            </w:r>
            <w:r>
              <w:rPr>
                <w:rFonts w:hint="default" w:ascii="Times New Roman" w:hAnsi="Times New Roman" w:eastAsia="宋体" w:cs="Times New Roman"/>
                <w:color w:val="auto"/>
                <w:sz w:val="24"/>
                <w:lang w:val="en-US" w:eastAsia="zh-CN" w:bidi="ar"/>
              </w:rPr>
              <w:t xml:space="preserve">t/a。 </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③废活性炭</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w:t>
            </w:r>
            <w:r>
              <w:rPr>
                <w:rFonts w:hint="eastAsia" w:ascii="Times New Roman" w:hAnsi="Times New Roman" w:eastAsia="宋体" w:cs="Times New Roman"/>
                <w:color w:val="auto"/>
                <w:sz w:val="24"/>
                <w:lang w:val="en-US" w:eastAsia="zh-CN" w:bidi="ar"/>
              </w:rPr>
              <w:t>非甲烷总烃</w:t>
            </w:r>
            <w:r>
              <w:rPr>
                <w:rFonts w:hint="default" w:ascii="Times New Roman" w:hAnsi="Times New Roman" w:eastAsia="宋体" w:cs="Times New Roman"/>
                <w:color w:val="auto"/>
                <w:sz w:val="24"/>
                <w:lang w:val="en-US" w:eastAsia="zh-CN" w:bidi="ar"/>
              </w:rPr>
              <w:t>由活性炭吸附装置吸附处理后有组织排放，此过程产生废活性炭。活性炭吸附有机废气的量约为0.</w:t>
            </w:r>
            <w:r>
              <w:rPr>
                <w:rFonts w:hint="eastAsia" w:ascii="Times New Roman" w:hAnsi="Times New Roman" w:eastAsia="宋体" w:cs="Times New Roman"/>
                <w:color w:val="auto"/>
                <w:sz w:val="24"/>
                <w:lang w:val="en-US" w:eastAsia="zh-CN" w:bidi="ar"/>
              </w:rPr>
              <w:t>00024</w:t>
            </w:r>
            <w:r>
              <w:rPr>
                <w:rFonts w:hint="default" w:ascii="Times New Roman" w:hAnsi="Times New Roman" w:eastAsia="宋体" w:cs="Times New Roman"/>
                <w:color w:val="auto"/>
                <w:sz w:val="24"/>
                <w:lang w:val="en-US" w:eastAsia="zh-CN" w:bidi="ar"/>
              </w:rPr>
              <w:t>t/a，活性炭用量与吸附气体量之比约为3:1，经过计算，本项目废活性炭产生量约为</w:t>
            </w:r>
            <w:r>
              <w:rPr>
                <w:rFonts w:hint="eastAsia" w:ascii="Times New Roman" w:hAnsi="Times New Roman" w:eastAsia="宋体" w:cs="Times New Roman"/>
                <w:color w:val="auto"/>
                <w:sz w:val="24"/>
                <w:lang w:val="en-US" w:eastAsia="zh-CN" w:bidi="ar"/>
              </w:rPr>
              <w:t>0.001</w:t>
            </w:r>
            <w:r>
              <w:rPr>
                <w:rFonts w:hint="default" w:ascii="Times New Roman" w:hAnsi="Times New Roman" w:eastAsia="宋体" w:cs="Times New Roman"/>
                <w:color w:val="auto"/>
                <w:sz w:val="24"/>
                <w:lang w:val="en-US" w:eastAsia="zh-CN" w:bidi="ar"/>
              </w:rPr>
              <w:t>t/a。</w:t>
            </w:r>
          </w:p>
          <w:p>
            <w:pPr>
              <w:spacing w:line="360" w:lineRule="auto"/>
              <w:ind w:firstLine="480" w:firstLineChars="200"/>
              <w:rPr>
                <w:rFonts w:hint="default" w:ascii="Times New Roman" w:hAnsi="Times New Roman" w:eastAsia="宋体" w:cs="Times New Roman"/>
                <w:color w:val="auto"/>
                <w:sz w:val="24"/>
                <w:lang w:bidi="ar"/>
              </w:rPr>
            </w:pPr>
            <w:r>
              <w:rPr>
                <w:rFonts w:hint="eastAsia" w:ascii="Times New Roman" w:hAnsi="Times New Roman" w:eastAsia="宋体" w:cs="Times New Roman"/>
                <w:color w:val="auto"/>
                <w:sz w:val="24"/>
                <w:lang w:val="en-US" w:eastAsia="zh-CN" w:bidi="ar"/>
              </w:rPr>
              <w:t>④</w:t>
            </w:r>
            <w:r>
              <w:rPr>
                <w:rFonts w:hint="default" w:ascii="Times New Roman" w:hAnsi="Times New Roman" w:eastAsia="宋体" w:cs="Times New Roman"/>
                <w:color w:val="auto"/>
                <w:sz w:val="24"/>
                <w:lang w:val="en-US" w:eastAsia="zh-CN" w:bidi="ar"/>
              </w:rPr>
              <w:t>废滤网</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本项目锡焊烟尘净化器中滤网定期更换，废滤网产生量约为0.</w:t>
            </w:r>
            <w:r>
              <w:rPr>
                <w:rFonts w:hint="eastAsia" w:ascii="Times New Roman" w:hAnsi="Times New Roman" w:eastAsia="宋体" w:cs="Times New Roman"/>
                <w:color w:val="auto"/>
                <w:sz w:val="24"/>
                <w:lang w:val="en-US" w:eastAsia="zh-CN" w:bidi="ar"/>
              </w:rPr>
              <w:t>01</w:t>
            </w:r>
            <w:r>
              <w:rPr>
                <w:rFonts w:hint="default" w:ascii="Times New Roman" w:hAnsi="Times New Roman" w:eastAsia="宋体" w:cs="Times New Roman"/>
                <w:color w:val="auto"/>
                <w:sz w:val="24"/>
                <w:lang w:val="en-US" w:eastAsia="zh-CN" w:bidi="ar"/>
              </w:rPr>
              <w:t>t/a。</w:t>
            </w:r>
          </w:p>
          <w:p>
            <w:pPr>
              <w:spacing w:line="360" w:lineRule="auto"/>
              <w:ind w:firstLine="480" w:firstLineChars="200"/>
              <w:rPr>
                <w:rFonts w:hint="default" w:ascii="Times New Roman" w:hAnsi="Times New Roman" w:eastAsia="宋体" w:cs="Times New Roman"/>
                <w:color w:val="auto"/>
                <w:sz w:val="24"/>
                <w:lang w:bidi="ar"/>
              </w:rPr>
            </w:pPr>
            <w:r>
              <w:rPr>
                <w:rFonts w:hint="eastAsia" w:ascii="Times New Roman" w:hAnsi="Times New Roman" w:eastAsia="宋体" w:cs="Times New Roman"/>
                <w:color w:val="auto"/>
                <w:sz w:val="24"/>
                <w:lang w:val="en-US" w:eastAsia="zh-CN" w:bidi="ar"/>
              </w:rPr>
              <w:t>⑤</w:t>
            </w:r>
            <w:r>
              <w:rPr>
                <w:rFonts w:hint="default" w:ascii="Times New Roman" w:hAnsi="Times New Roman" w:eastAsia="宋体" w:cs="Times New Roman"/>
                <w:color w:val="auto"/>
                <w:sz w:val="24"/>
                <w:lang w:val="en-US" w:eastAsia="zh-CN" w:bidi="ar"/>
              </w:rPr>
              <w:t>生活垃圾</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本项目新增员工</w:t>
            </w:r>
            <w:r>
              <w:rPr>
                <w:rFonts w:hint="eastAsia" w:ascii="Times New Roman" w:hAnsi="Times New Roman" w:eastAsia="宋体" w:cs="Times New Roman"/>
                <w:color w:val="auto"/>
                <w:sz w:val="24"/>
                <w:lang w:val="en-US" w:eastAsia="zh-CN" w:bidi="ar"/>
              </w:rPr>
              <w:t>1</w:t>
            </w:r>
            <w:r>
              <w:rPr>
                <w:rFonts w:hint="default" w:ascii="Times New Roman" w:hAnsi="Times New Roman" w:eastAsia="宋体" w:cs="Times New Roman"/>
                <w:color w:val="auto"/>
                <w:sz w:val="24"/>
                <w:lang w:val="en-US" w:eastAsia="zh-CN" w:bidi="ar"/>
              </w:rPr>
              <w:t>0人，年工作日为</w:t>
            </w:r>
            <w:r>
              <w:rPr>
                <w:rFonts w:hint="eastAsia" w:ascii="Times New Roman" w:hAnsi="Times New Roman" w:eastAsia="宋体" w:cs="Times New Roman"/>
                <w:color w:val="auto"/>
                <w:sz w:val="24"/>
                <w:lang w:val="en-US" w:eastAsia="zh-CN" w:bidi="ar"/>
              </w:rPr>
              <w:t>30</w:t>
            </w:r>
            <w:r>
              <w:rPr>
                <w:rFonts w:hint="default" w:ascii="Times New Roman" w:hAnsi="Times New Roman" w:eastAsia="宋体" w:cs="Times New Roman"/>
                <w:color w:val="auto"/>
                <w:sz w:val="24"/>
                <w:lang w:val="en-US" w:eastAsia="zh-CN" w:bidi="ar"/>
              </w:rPr>
              <w:t>0天，每人每天生活垃圾的产生量约为0.5kg，生活垃圾的产生量约为</w:t>
            </w:r>
            <w:r>
              <w:rPr>
                <w:rFonts w:hint="eastAsia" w:ascii="Times New Roman" w:hAnsi="Times New Roman" w:eastAsia="宋体" w:cs="Times New Roman"/>
                <w:color w:val="auto"/>
                <w:sz w:val="24"/>
                <w:lang w:val="en-US" w:eastAsia="zh-CN" w:bidi="ar"/>
              </w:rPr>
              <w:t>1.5</w:t>
            </w:r>
            <w:r>
              <w:rPr>
                <w:rFonts w:hint="default" w:ascii="Times New Roman" w:hAnsi="Times New Roman" w:eastAsia="宋体" w:cs="Times New Roman"/>
                <w:color w:val="auto"/>
                <w:sz w:val="24"/>
                <w:lang w:val="en-US" w:eastAsia="zh-CN" w:bidi="ar"/>
              </w:rPr>
              <w:t>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本项目固体废弃物产生情况汇总表如下：</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default" w:ascii="Times New Roman" w:hAnsi="Times New Roman" w:cs="Times New Roman"/>
                <w:color w:val="auto"/>
                <w:lang w:val="en-US" w:eastAsia="zh-CN"/>
              </w:rPr>
              <w:t>7</w:t>
            </w:r>
            <w:r>
              <w:rPr>
                <w:rFonts w:hint="default" w:ascii="Times New Roman" w:hAnsi="Times New Roman" w:cs="Times New Roman"/>
                <w:color w:val="auto"/>
              </w:rPr>
              <w:t xml:space="preserve"> 营运期固体废物分析结果汇总表</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955"/>
              <w:gridCol w:w="915"/>
              <w:gridCol w:w="660"/>
              <w:gridCol w:w="1425"/>
              <w:gridCol w:w="885"/>
              <w:gridCol w:w="823"/>
              <w:gridCol w:w="84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序号</w:t>
                  </w:r>
                </w:p>
              </w:tc>
              <w:tc>
                <w:tcPr>
                  <w:tcW w:w="95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名称</w:t>
                  </w:r>
                </w:p>
              </w:tc>
              <w:tc>
                <w:tcPr>
                  <w:tcW w:w="91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来源</w:t>
                  </w:r>
                </w:p>
              </w:tc>
              <w:tc>
                <w:tcPr>
                  <w:tcW w:w="660"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形态</w:t>
                  </w:r>
                </w:p>
              </w:tc>
              <w:tc>
                <w:tcPr>
                  <w:tcW w:w="142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主要成分</w:t>
                  </w:r>
                </w:p>
              </w:tc>
              <w:tc>
                <w:tcPr>
                  <w:tcW w:w="88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产生量（t/a）</w:t>
                  </w:r>
                </w:p>
              </w:tc>
              <w:tc>
                <w:tcPr>
                  <w:tcW w:w="3019" w:type="dxa"/>
                  <w:gridSpan w:val="3"/>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判别种类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95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91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66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42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88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固体废物</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副产品</w:t>
                  </w:r>
                </w:p>
              </w:tc>
              <w:tc>
                <w:tcPr>
                  <w:tcW w:w="135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边角料和不合格产品</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组装</w:t>
                  </w:r>
                  <w:r>
                    <w:rPr>
                      <w:rFonts w:hint="eastAsia" w:cs="Times New Roman"/>
                      <w:color w:val="auto"/>
                      <w:lang w:val="en-US" w:eastAsia="zh-CN"/>
                    </w:rPr>
                    <w:t>、</w:t>
                  </w:r>
                  <w:r>
                    <w:rPr>
                      <w:rFonts w:hint="default" w:ascii="Times New Roman" w:hAnsi="Times New Roman" w:eastAsia="宋体" w:cs="Times New Roman"/>
                      <w:color w:val="auto"/>
                      <w:lang w:val="en-US" w:eastAsia="zh-CN"/>
                    </w:rPr>
                    <w:t>检测</w:t>
                  </w:r>
                </w:p>
              </w:tc>
              <w:tc>
                <w:tcPr>
                  <w:tcW w:w="66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电线</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0.5</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w:t>
                  </w:r>
                </w:p>
              </w:tc>
              <w:tc>
                <w:tcPr>
                  <w:tcW w:w="1351" w:type="dxa"/>
                  <w:vMerge w:val="restart"/>
                  <w:tcBorders>
                    <w:top w:val="nil"/>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《固体废物鉴别标准通则 》（GB34330 2017）和《国家危险废物名录》（2016）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废包装材料</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包装</w:t>
                  </w:r>
                </w:p>
              </w:tc>
              <w:tc>
                <w:tcPr>
                  <w:tcW w:w="66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塑料</w:t>
                  </w:r>
                  <w:r>
                    <w:rPr>
                      <w:rFonts w:hint="eastAsia" w:cs="Times New Roman"/>
                      <w:color w:val="auto"/>
                      <w:lang w:val="en-US" w:eastAsia="zh-CN"/>
                    </w:rPr>
                    <w:t>、纸</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w:t>
                  </w:r>
                  <w:r>
                    <w:rPr>
                      <w:rFonts w:hint="eastAsia" w:cs="Times New Roman"/>
                      <w:color w:val="auto"/>
                      <w:lang w:val="en-US" w:eastAsia="zh-CN"/>
                    </w:rPr>
                    <w:t>02</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w:t>
                  </w:r>
                </w:p>
              </w:tc>
              <w:tc>
                <w:tcPr>
                  <w:tcW w:w="1351" w:type="dxa"/>
                  <w:vMerge w:val="continue"/>
                  <w:tcBorders>
                    <w:left w:val="nil"/>
                    <w:right w:val="single" w:color="auto" w:sz="4" w:space="0"/>
                  </w:tcBorders>
                  <w:shd w:val="clear" w:color="auto" w:fill="auto"/>
                  <w:vAlign w:val="center"/>
                </w:tcPr>
                <w:p>
                  <w:pPr>
                    <w:pStyle w:val="23"/>
                    <w:widowControl/>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3</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废活性炭</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废气处理</w:t>
                  </w:r>
                </w:p>
              </w:tc>
              <w:tc>
                <w:tcPr>
                  <w:tcW w:w="66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有机物</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0.001</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w:t>
                  </w:r>
                </w:p>
              </w:tc>
              <w:tc>
                <w:tcPr>
                  <w:tcW w:w="1351"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4</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废滤网</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eastAsia="宋体" w:cs="Times New Roman"/>
                      <w:i w:val="0"/>
                      <w:color w:val="000000"/>
                      <w:kern w:val="0"/>
                      <w:sz w:val="21"/>
                      <w:szCs w:val="21"/>
                      <w:u w:val="none"/>
                      <w:lang w:val="en-US" w:eastAsia="zh-CN" w:bidi="ar"/>
                    </w:rPr>
                    <w:t>锡焊净化</w:t>
                  </w:r>
                </w:p>
              </w:tc>
              <w:tc>
                <w:tcPr>
                  <w:tcW w:w="66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锡、铁</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0.01</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w:t>
                  </w:r>
                </w:p>
              </w:tc>
              <w:tc>
                <w:tcPr>
                  <w:tcW w:w="1351"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5</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生活垃圾</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办公生活</w:t>
                  </w:r>
                </w:p>
              </w:tc>
              <w:tc>
                <w:tcPr>
                  <w:tcW w:w="66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生活垃圾</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1.5</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w:t>
                  </w:r>
                </w:p>
              </w:tc>
              <w:tc>
                <w:tcPr>
                  <w:tcW w:w="1351"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bl>
          <w:p>
            <w:pPr>
              <w:pStyle w:val="26"/>
              <w:widowControl/>
              <w:jc w:val="left"/>
              <w:rPr>
                <w:rFonts w:hint="default" w:ascii="Times New Roman" w:hAnsi="Times New Roman" w:cs="Times New Roman"/>
                <w:color w:val="auto"/>
              </w:rPr>
            </w:pPr>
            <w:r>
              <w:rPr>
                <w:rFonts w:hint="default" w:ascii="Times New Roman" w:hAnsi="Times New Roman" w:cs="Times New Roman"/>
                <w:color w:val="auto"/>
                <w:sz w:val="15"/>
                <w:szCs w:val="15"/>
              </w:rPr>
              <w:t>*注：种类判别，在相应类别下打钩。</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default" w:ascii="Times New Roman" w:hAnsi="Times New Roman" w:cs="Times New Roman"/>
                <w:color w:val="auto"/>
                <w:lang w:val="en-US" w:eastAsia="zh-CN"/>
              </w:rPr>
              <w:t>8</w:t>
            </w:r>
            <w:r>
              <w:rPr>
                <w:rFonts w:hint="default" w:ascii="Times New Roman" w:hAnsi="Times New Roman" w:cs="Times New Roman"/>
                <w:color w:val="auto"/>
              </w:rPr>
              <w:t>本项目固废产生情况汇总表</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50"/>
              <w:gridCol w:w="857"/>
              <w:gridCol w:w="730"/>
              <w:gridCol w:w="528"/>
              <w:gridCol w:w="1182"/>
              <w:gridCol w:w="1035"/>
              <w:gridCol w:w="480"/>
              <w:gridCol w:w="588"/>
              <w:gridCol w:w="948"/>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序号</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名称</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来源</w:t>
                  </w:r>
                </w:p>
              </w:tc>
              <w:tc>
                <w:tcPr>
                  <w:tcW w:w="73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属性</w:t>
                  </w:r>
                </w:p>
              </w:tc>
              <w:tc>
                <w:tcPr>
                  <w:tcW w:w="52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形态</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主要成分</w:t>
                  </w:r>
                </w:p>
              </w:tc>
              <w:tc>
                <w:tcPr>
                  <w:tcW w:w="103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鉴别方法</w:t>
                  </w:r>
                </w:p>
              </w:tc>
              <w:tc>
                <w:tcPr>
                  <w:tcW w:w="48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危险特性</w:t>
                  </w:r>
                </w:p>
              </w:tc>
              <w:tc>
                <w:tcPr>
                  <w:tcW w:w="58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废物类别</w:t>
                  </w:r>
                </w:p>
              </w:tc>
              <w:tc>
                <w:tcPr>
                  <w:tcW w:w="94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废物代码</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highlight w:val="none"/>
                    </w:rPr>
                    <w:t>1</w:t>
                  </w:r>
                </w:p>
              </w:tc>
              <w:tc>
                <w:tcPr>
                  <w:tcW w:w="6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生活垃圾</w:t>
                  </w:r>
                </w:p>
              </w:tc>
              <w:tc>
                <w:tcPr>
                  <w:tcW w:w="8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办公生活</w:t>
                  </w:r>
                </w:p>
              </w:tc>
              <w:tc>
                <w:tcPr>
                  <w:tcW w:w="7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生活垃圾</w:t>
                  </w: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lang w:val="en-US"/>
                    </w:rPr>
                  </w:pPr>
                  <w:r>
                    <w:rPr>
                      <w:rFonts w:hint="eastAsia" w:cs="Times New Roman"/>
                      <w:color w:val="auto"/>
                      <w:lang w:val="en-US" w:eastAsia="zh-CN"/>
                    </w:rPr>
                    <w:t>生活垃圾</w:t>
                  </w:r>
                </w:p>
              </w:tc>
              <w:tc>
                <w:tcPr>
                  <w:tcW w:w="103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对照《国家危险废物名录》（2016</w:t>
                  </w:r>
                  <w:r>
                    <w:rPr>
                      <w:rStyle w:val="35"/>
                      <w:rFonts w:hint="default" w:ascii="Times New Roman" w:hAnsi="Times New Roman" w:cs="Times New Roman"/>
                      <w:lang w:val="en-US" w:eastAsia="zh-CN" w:bidi="ar"/>
                    </w:rPr>
                    <w:t>）</w:t>
                  </w: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8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lang w:val="en-US"/>
                    </w:rPr>
                  </w:pPr>
                  <w:r>
                    <w:rPr>
                      <w:rFonts w:hint="eastAsia" w:ascii="Times New Roman" w:hAnsi="Times New Roman" w:eastAsia="宋体" w:cs="Times New Roman"/>
                      <w:i w:val="0"/>
                      <w:color w:val="000000"/>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highlight w:val="none"/>
                    </w:rPr>
                    <w:t>2</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eastAsia="宋体" w:cs="Times New Roman"/>
                      <w:color w:val="auto"/>
                      <w:lang w:val="en-US" w:eastAsia="zh-CN"/>
                    </w:rPr>
                    <w:t>边角料和不合格产品</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eastAsia="宋体" w:cs="Times New Roman"/>
                      <w:color w:val="auto"/>
                      <w:lang w:val="en-US" w:eastAsia="zh-CN"/>
                    </w:rPr>
                    <w:t>组装</w:t>
                  </w:r>
                  <w:r>
                    <w:rPr>
                      <w:rFonts w:hint="eastAsia" w:cs="Times New Roman"/>
                      <w:color w:val="auto"/>
                      <w:lang w:val="en-US" w:eastAsia="zh-CN"/>
                    </w:rPr>
                    <w:t>、</w:t>
                  </w:r>
                  <w:r>
                    <w:rPr>
                      <w:rFonts w:hint="default" w:ascii="Times New Roman" w:hAnsi="Times New Roman" w:eastAsia="宋体" w:cs="Times New Roman"/>
                      <w:color w:val="auto"/>
                      <w:lang w:val="en-US" w:eastAsia="zh-CN"/>
                    </w:rPr>
                    <w:t>检测</w:t>
                  </w:r>
                </w:p>
              </w:tc>
              <w:tc>
                <w:tcPr>
                  <w:tcW w:w="730" w:type="dxa"/>
                  <w:vMerge w:val="restart"/>
                  <w:tcBorders>
                    <w:top w:val="nil"/>
                    <w:left w:val="nil"/>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一般固废</w:t>
                  </w: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电线</w:t>
                  </w:r>
                </w:p>
              </w:tc>
              <w:tc>
                <w:tcPr>
                  <w:tcW w:w="1035" w:type="dxa"/>
                  <w:vMerge w:val="continue"/>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highlight w:val="none"/>
                      <w:lang w:val="en-US" w:eastAsia="zh-CN"/>
                    </w:rPr>
                    <w:t>3</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废包装材料</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包装</w:t>
                  </w:r>
                </w:p>
              </w:tc>
              <w:tc>
                <w:tcPr>
                  <w:tcW w:w="730" w:type="dxa"/>
                  <w:vMerge w:val="continue"/>
                  <w:tcBorders>
                    <w:left w:val="nil"/>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塑料</w:t>
                  </w:r>
                  <w:r>
                    <w:rPr>
                      <w:rFonts w:hint="eastAsia" w:cs="Times New Roman"/>
                      <w:color w:val="auto"/>
                      <w:lang w:val="en-US" w:eastAsia="zh-CN"/>
                    </w:rPr>
                    <w:t>、纸</w:t>
                  </w:r>
                </w:p>
              </w:tc>
              <w:tc>
                <w:tcPr>
                  <w:tcW w:w="1035" w:type="dxa"/>
                  <w:vMerge w:val="continue"/>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0.</w:t>
                  </w:r>
                  <w:r>
                    <w:rPr>
                      <w:rFonts w:hint="eastAsia" w:cs="Times New Roman"/>
                      <w:color w:val="auto"/>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ascii="Times New Roman" w:hAnsi="Times New Roman" w:eastAsia="宋体" w:cs="Times New Roman"/>
                      <w:color w:val="auto"/>
                      <w:lang w:val="en-US" w:eastAsia="zh-CN"/>
                    </w:rPr>
                  </w:pPr>
                  <w:r>
                    <w:rPr>
                      <w:rFonts w:hint="eastAsia" w:cs="Times New Roman"/>
                      <w:color w:val="auto"/>
                      <w:lang w:val="en-US" w:eastAsia="zh-CN"/>
                    </w:rPr>
                    <w:t>4</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废活性炭</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废气处理</w:t>
                  </w:r>
                </w:p>
              </w:tc>
              <w:tc>
                <w:tcPr>
                  <w:tcW w:w="73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sz w:val="20"/>
                      <w:szCs w:val="20"/>
                    </w:rPr>
                  </w:pPr>
                  <w:r>
                    <w:rPr>
                      <w:rFonts w:hint="default" w:ascii="Times New Roman" w:hAnsi="Times New Roman" w:eastAsia="宋体" w:cs="Times New Roman"/>
                      <w:i w:val="0"/>
                      <w:color w:val="000000"/>
                      <w:kern w:val="0"/>
                      <w:sz w:val="21"/>
                      <w:szCs w:val="21"/>
                      <w:u w:val="none"/>
                      <w:lang w:val="en-US" w:eastAsia="zh-CN" w:bidi="ar"/>
                    </w:rPr>
                    <w:t>危险固废</w:t>
                  </w: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有机物</w:t>
                  </w:r>
                </w:p>
              </w:tc>
              <w:tc>
                <w:tcPr>
                  <w:tcW w:w="1035" w:type="dxa"/>
                  <w:vMerge w:val="continue"/>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T/In</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HW</w:t>
                  </w:r>
                  <w:r>
                    <w:rPr>
                      <w:rStyle w:val="35"/>
                      <w:rFonts w:hint="default" w:ascii="Times New Roman" w:hAnsi="Times New Roman" w:cs="Times New Roman"/>
                      <w:lang w:val="en-US" w:eastAsia="zh-CN" w:bidi="ar"/>
                    </w:rPr>
                    <w:t>49</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900-</w:t>
                  </w:r>
                  <w:r>
                    <w:rPr>
                      <w:rStyle w:val="35"/>
                      <w:rFonts w:hint="default" w:ascii="Times New Roman" w:hAnsi="Times New Roman" w:cs="Times New Roman"/>
                      <w:lang w:val="en-US" w:eastAsia="zh-CN" w:bidi="ar"/>
                    </w:rPr>
                    <w:t>041</w:t>
                  </w:r>
                  <w:r>
                    <w:rPr>
                      <w:rStyle w:val="36"/>
                      <w:rFonts w:hint="default" w:ascii="Times New Roman" w:hAnsi="Times New Roman" w:eastAsia="宋体" w:cs="Times New Roman"/>
                      <w:lang w:val="en-US" w:eastAsia="zh-CN" w:bidi="ar"/>
                    </w:rPr>
                    <w:t>-</w:t>
                  </w:r>
                  <w:r>
                    <w:rPr>
                      <w:rStyle w:val="35"/>
                      <w:rFonts w:hint="default" w:ascii="Times New Roman" w:hAnsi="Times New Roman" w:cs="Times New Roman"/>
                      <w:lang w:val="en-US" w:eastAsia="zh-CN" w:bidi="ar"/>
                    </w:rPr>
                    <w:t>49</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ascii="Times New Roman" w:hAnsi="Times New Roman" w:eastAsia="宋体" w:cs="Times New Roman"/>
                      <w:color w:val="auto"/>
                      <w:lang w:val="en-US" w:eastAsia="zh-CN"/>
                    </w:rPr>
                  </w:pPr>
                  <w:r>
                    <w:rPr>
                      <w:rFonts w:hint="eastAsia" w:cs="Times New Roman"/>
                      <w:color w:val="auto"/>
                      <w:lang w:val="en-US" w:eastAsia="zh-CN"/>
                    </w:rPr>
                    <w:t>5</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废滤网</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锡焊净化</w:t>
                  </w:r>
                </w:p>
              </w:tc>
              <w:tc>
                <w:tcPr>
                  <w:tcW w:w="730" w:type="dxa"/>
                  <w:vMerge w:val="continue"/>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锡、铁</w:t>
                  </w:r>
                </w:p>
              </w:tc>
              <w:tc>
                <w:tcPr>
                  <w:tcW w:w="1035" w:type="dxa"/>
                  <w:vMerge w:val="continue"/>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T/In</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HW</w:t>
                  </w:r>
                  <w:r>
                    <w:rPr>
                      <w:rStyle w:val="35"/>
                      <w:rFonts w:hint="default" w:ascii="Times New Roman" w:hAnsi="Times New Roman" w:cs="Times New Roman"/>
                      <w:lang w:val="en-US" w:eastAsia="zh-CN" w:bidi="ar"/>
                    </w:rPr>
                    <w:t>49</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900-</w:t>
                  </w:r>
                  <w:r>
                    <w:rPr>
                      <w:rStyle w:val="35"/>
                      <w:rFonts w:hint="default" w:ascii="Times New Roman" w:hAnsi="Times New Roman" w:cs="Times New Roman"/>
                      <w:lang w:val="en-US" w:eastAsia="zh-CN" w:bidi="ar"/>
                    </w:rPr>
                    <w:t>041</w:t>
                  </w:r>
                  <w:r>
                    <w:rPr>
                      <w:rStyle w:val="36"/>
                      <w:rFonts w:hint="default" w:ascii="Times New Roman" w:hAnsi="Times New Roman" w:eastAsia="宋体" w:cs="Times New Roman"/>
                      <w:lang w:val="en-US" w:eastAsia="zh-CN" w:bidi="ar"/>
                    </w:rPr>
                    <w:t>-</w:t>
                  </w:r>
                  <w:r>
                    <w:rPr>
                      <w:rStyle w:val="35"/>
                      <w:rFonts w:hint="default" w:ascii="Times New Roman" w:hAnsi="Times New Roman" w:cs="Times New Roman"/>
                      <w:lang w:val="en-US" w:eastAsia="zh-CN" w:bidi="ar"/>
                    </w:rPr>
                    <w:t>49</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0.01</w:t>
                  </w:r>
                </w:p>
              </w:tc>
            </w:tr>
          </w:tbl>
          <w:p>
            <w:pPr>
              <w:spacing w:line="360" w:lineRule="auto"/>
              <w:ind w:firstLine="480" w:firstLineChars="200"/>
              <w:rPr>
                <w:rFonts w:hint="default"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0" w:hRule="atLeast"/>
        </w:trPr>
        <w:tc>
          <w:tcPr>
            <w:tcW w:w="8522" w:type="dxa"/>
            <w:tcBorders>
              <w:top w:val="single" w:color="auto" w:sz="6" w:space="0"/>
              <w:left w:val="single" w:color="auto" w:sz="4" w:space="0"/>
              <w:bottom w:val="single" w:color="auto" w:sz="4" w:space="0"/>
              <w:right w:val="single" w:color="auto" w:sz="12" w:space="0"/>
            </w:tcBorders>
            <w:shd w:val="clear" w:color="auto" w:fill="auto"/>
          </w:tcPr>
          <w:p>
            <w:pPr>
              <w:spacing w:line="360" w:lineRule="auto"/>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表5-</w:t>
            </w:r>
            <w:r>
              <w:rPr>
                <w:rFonts w:hint="default" w:ascii="Times New Roman" w:hAnsi="Times New Roman" w:eastAsia="宋体" w:cs="Times New Roman"/>
                <w:b/>
                <w:color w:val="auto"/>
                <w:sz w:val="24"/>
                <w:lang w:val="en-US" w:eastAsia="zh-CN" w:bidi="ar"/>
              </w:rPr>
              <w:t xml:space="preserve">9 </w:t>
            </w:r>
            <w:r>
              <w:rPr>
                <w:rFonts w:hint="default" w:ascii="Times New Roman" w:hAnsi="Times New Roman" w:eastAsia="宋体" w:cs="Times New Roman"/>
                <w:b/>
                <w:color w:val="auto"/>
                <w:sz w:val="24"/>
                <w:lang w:bidi="ar"/>
              </w:rPr>
              <w:t>危险废物汇总表</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645"/>
              <w:gridCol w:w="615"/>
              <w:gridCol w:w="675"/>
              <w:gridCol w:w="645"/>
              <w:gridCol w:w="780"/>
              <w:gridCol w:w="540"/>
              <w:gridCol w:w="720"/>
              <w:gridCol w:w="690"/>
              <w:gridCol w:w="600"/>
              <w:gridCol w:w="54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trPr>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序号</w:t>
                  </w:r>
                </w:p>
              </w:tc>
              <w:tc>
                <w:tcPr>
                  <w:tcW w:w="645"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危险废物名称</w:t>
                  </w:r>
                </w:p>
              </w:tc>
              <w:tc>
                <w:tcPr>
                  <w:tcW w:w="615"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危险废物类别</w:t>
                  </w:r>
                </w:p>
              </w:tc>
              <w:tc>
                <w:tcPr>
                  <w:tcW w:w="675"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危险废物代码</w:t>
                  </w:r>
                </w:p>
              </w:tc>
              <w:tc>
                <w:tcPr>
                  <w:tcW w:w="645"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产生量（吨/年）</w:t>
                  </w:r>
                </w:p>
              </w:tc>
              <w:tc>
                <w:tcPr>
                  <w:tcW w:w="780"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产生工序及装置</w:t>
                  </w:r>
                </w:p>
              </w:tc>
              <w:tc>
                <w:tcPr>
                  <w:tcW w:w="540"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形态</w:t>
                  </w:r>
                </w:p>
              </w:tc>
              <w:tc>
                <w:tcPr>
                  <w:tcW w:w="720"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主要成分</w:t>
                  </w:r>
                </w:p>
              </w:tc>
              <w:tc>
                <w:tcPr>
                  <w:tcW w:w="690"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有害成分</w:t>
                  </w:r>
                </w:p>
              </w:tc>
              <w:tc>
                <w:tcPr>
                  <w:tcW w:w="600"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产废周期</w:t>
                  </w:r>
                </w:p>
              </w:tc>
              <w:tc>
                <w:tcPr>
                  <w:tcW w:w="540"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bidi="ar"/>
                    </w:rPr>
                    <w:t>危险</w:t>
                  </w:r>
                </w:p>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特性</w:t>
                  </w:r>
                </w:p>
              </w:tc>
              <w:tc>
                <w:tcPr>
                  <w:tcW w:w="1399"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kern w:val="0"/>
                      <w:sz w:val="21"/>
                      <w:szCs w:val="21"/>
                      <w:lang w:bidi="ar"/>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1</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废活性炭</w:t>
                  </w: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HW</w:t>
                  </w:r>
                  <w:r>
                    <w:rPr>
                      <w:rStyle w:val="35"/>
                      <w:rFonts w:hint="default" w:ascii="Times New Roman" w:hAnsi="Times New Roman" w:cs="Times New Roman"/>
                      <w:sz w:val="21"/>
                      <w:szCs w:val="21"/>
                      <w:lang w:val="en-US" w:eastAsia="zh-CN" w:bidi="ar"/>
                    </w:rPr>
                    <w:t>49</w:t>
                  </w:r>
                </w:p>
              </w:tc>
              <w:tc>
                <w:tcPr>
                  <w:tcW w:w="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900-</w:t>
                  </w:r>
                  <w:r>
                    <w:rPr>
                      <w:rStyle w:val="35"/>
                      <w:rFonts w:hint="default" w:ascii="Times New Roman" w:hAnsi="Times New Roman" w:cs="Times New Roman"/>
                      <w:sz w:val="21"/>
                      <w:szCs w:val="21"/>
                      <w:lang w:val="en-US" w:eastAsia="zh-CN" w:bidi="ar"/>
                    </w:rPr>
                    <w:t>041</w:t>
                  </w:r>
                  <w:r>
                    <w:rPr>
                      <w:rStyle w:val="36"/>
                      <w:rFonts w:hint="default" w:ascii="Times New Roman" w:hAnsi="Times New Roman" w:eastAsia="宋体" w:cs="Times New Roman"/>
                      <w:sz w:val="21"/>
                      <w:szCs w:val="21"/>
                      <w:lang w:val="en-US" w:eastAsia="zh-CN" w:bidi="ar"/>
                    </w:rPr>
                    <w:t>-</w:t>
                  </w:r>
                  <w:r>
                    <w:rPr>
                      <w:rStyle w:val="35"/>
                      <w:rFonts w:hint="default" w:ascii="Times New Roman" w:hAnsi="Times New Roman" w:cs="Times New Roman"/>
                      <w:sz w:val="21"/>
                      <w:szCs w:val="21"/>
                      <w:lang w:val="en-US" w:eastAsia="zh-CN" w:bidi="ar"/>
                    </w:rPr>
                    <w:t>49</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eastAsia" w:cs="Times New Roman"/>
                      <w:color w:val="auto"/>
                      <w:lang w:val="en-US" w:eastAsia="zh-CN"/>
                    </w:rPr>
                    <w:t>0.001</w:t>
                  </w:r>
                </w:p>
              </w:tc>
              <w:tc>
                <w:tcPr>
                  <w:tcW w:w="78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废气处理</w:t>
                  </w: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固</w:t>
                  </w:r>
                </w:p>
              </w:tc>
              <w:tc>
                <w:tcPr>
                  <w:tcW w:w="72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有机物</w:t>
                  </w:r>
                </w:p>
              </w:tc>
              <w:tc>
                <w:tcPr>
                  <w:tcW w:w="69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有机物</w:t>
                  </w:r>
                </w:p>
              </w:tc>
              <w:tc>
                <w:tcPr>
                  <w:tcW w:w="6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w:t>
                  </w:r>
                  <w:r>
                    <w:rPr>
                      <w:rFonts w:hint="default" w:ascii="Times New Roman" w:hAnsi="Times New Roman" w:eastAsia="宋体" w:cs="Times New Roman"/>
                      <w:color w:val="auto"/>
                      <w:sz w:val="21"/>
                      <w:szCs w:val="21"/>
                      <w:lang w:val="en-US" w:eastAsia="zh-CN"/>
                    </w:rPr>
                    <w:t>0d</w:t>
                  </w: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T/In</w:t>
                  </w:r>
                </w:p>
              </w:tc>
              <w:tc>
                <w:tcPr>
                  <w:tcW w:w="1399" w:type="dxa"/>
                  <w:tcBorders>
                    <w:top w:val="single" w:color="auto" w:sz="4" w:space="0"/>
                    <w:left w:val="nil"/>
                    <w:bottom w:val="single" w:color="auto" w:sz="4" w:space="0"/>
                    <w:right w:val="single" w:color="auto" w:sz="4" w:space="0"/>
                  </w:tcBorders>
                  <w:shd w:val="clear" w:color="auto" w:fill="auto"/>
                  <w:vAlign w:val="center"/>
                </w:tcPr>
                <w:p>
                  <w:pPr>
                    <w:topLinePunct/>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存放于袋中，并贴上标签单独暂存危废堆场中，委托有资质单位处置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2</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废滤网</w:t>
                  </w: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HW</w:t>
                  </w:r>
                  <w:r>
                    <w:rPr>
                      <w:rStyle w:val="35"/>
                      <w:rFonts w:hint="default" w:ascii="Times New Roman" w:hAnsi="Times New Roman" w:cs="Times New Roman"/>
                      <w:sz w:val="21"/>
                      <w:szCs w:val="21"/>
                      <w:lang w:val="en-US" w:eastAsia="zh-CN" w:bidi="ar"/>
                    </w:rPr>
                    <w:t>49</w:t>
                  </w:r>
                </w:p>
              </w:tc>
              <w:tc>
                <w:tcPr>
                  <w:tcW w:w="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900-</w:t>
                  </w:r>
                  <w:r>
                    <w:rPr>
                      <w:rStyle w:val="35"/>
                      <w:rFonts w:hint="default" w:ascii="Times New Roman" w:hAnsi="Times New Roman" w:cs="Times New Roman"/>
                      <w:sz w:val="21"/>
                      <w:szCs w:val="21"/>
                      <w:lang w:val="en-US" w:eastAsia="zh-CN" w:bidi="ar"/>
                    </w:rPr>
                    <w:t>041</w:t>
                  </w:r>
                  <w:r>
                    <w:rPr>
                      <w:rStyle w:val="36"/>
                      <w:rFonts w:hint="default" w:ascii="Times New Roman" w:hAnsi="Times New Roman" w:eastAsia="宋体" w:cs="Times New Roman"/>
                      <w:sz w:val="21"/>
                      <w:szCs w:val="21"/>
                      <w:lang w:val="en-US" w:eastAsia="zh-CN" w:bidi="ar"/>
                    </w:rPr>
                    <w:t>-</w:t>
                  </w:r>
                  <w:r>
                    <w:rPr>
                      <w:rStyle w:val="35"/>
                      <w:rFonts w:hint="default" w:ascii="Times New Roman" w:hAnsi="Times New Roman" w:cs="Times New Roman"/>
                      <w:sz w:val="21"/>
                      <w:szCs w:val="21"/>
                      <w:lang w:val="en-US" w:eastAsia="zh-CN" w:bidi="ar"/>
                    </w:rPr>
                    <w:t>49</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eastAsia" w:cs="Times New Roman"/>
                      <w:color w:val="auto"/>
                      <w:lang w:val="en-US" w:eastAsia="zh-CN"/>
                    </w:rPr>
                    <w:t>0.01</w:t>
                  </w:r>
                </w:p>
              </w:tc>
              <w:tc>
                <w:tcPr>
                  <w:tcW w:w="78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锡焊净化</w:t>
                  </w: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固</w:t>
                  </w:r>
                </w:p>
              </w:tc>
              <w:tc>
                <w:tcPr>
                  <w:tcW w:w="72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锡、铁</w:t>
                  </w:r>
                </w:p>
              </w:tc>
              <w:tc>
                <w:tcPr>
                  <w:tcW w:w="69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锡、铁</w:t>
                  </w:r>
                </w:p>
              </w:tc>
              <w:tc>
                <w:tcPr>
                  <w:tcW w:w="6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9</w:t>
                  </w:r>
                  <w:r>
                    <w:rPr>
                      <w:rFonts w:hint="default" w:ascii="Times New Roman" w:hAnsi="Times New Roman" w:eastAsia="宋体" w:cs="Times New Roman"/>
                      <w:color w:val="auto"/>
                      <w:sz w:val="21"/>
                      <w:szCs w:val="21"/>
                      <w:lang w:val="en-US" w:eastAsia="zh-CN"/>
                    </w:rPr>
                    <w:t>0d</w:t>
                  </w: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T/In</w:t>
                  </w:r>
                </w:p>
              </w:tc>
              <w:tc>
                <w:tcPr>
                  <w:tcW w:w="139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lang w:val="en-US" w:eastAsia="zh-CN"/>
                    </w:rPr>
                    <w:t>存放于</w:t>
                  </w:r>
                  <w:r>
                    <w:rPr>
                      <w:rFonts w:hint="default" w:ascii="Times New Roman" w:hAnsi="Times New Roman" w:eastAsia="宋体" w:cs="Times New Roman"/>
                      <w:color w:val="auto"/>
                      <w:sz w:val="21"/>
                      <w:szCs w:val="21"/>
                      <w:lang w:val="en-US" w:eastAsia="zh-CN"/>
                    </w:rPr>
                    <w:t>袋</w:t>
                  </w:r>
                  <w:r>
                    <w:rPr>
                      <w:rFonts w:hint="default" w:ascii="Times New Roman" w:hAnsi="Times New Roman" w:eastAsia="宋体" w:cs="Times New Roman"/>
                      <w:color w:val="auto"/>
                      <w:szCs w:val="21"/>
                      <w:lang w:val="en-US" w:eastAsia="zh-CN"/>
                    </w:rPr>
                    <w:t>中，并贴上标签单独暂存危废堆场中，委托有资质单位处置</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污染物防治措施：</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营运期</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1、废水污染防治措施</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本项目无生产废水产生及排放；生活污水经化粪池处理后进入市政管网，最终进武进城区污水处理厂集中处理，尾水排入采菱港。</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bidi="ar"/>
              </w:rPr>
              <w:t>（1）</w:t>
            </w:r>
            <w:r>
              <w:rPr>
                <w:rFonts w:hint="default" w:ascii="Times New Roman" w:hAnsi="Times New Roman" w:eastAsia="宋体" w:cs="Times New Roman"/>
                <w:color w:val="auto"/>
                <w:sz w:val="24"/>
                <w:lang w:val="en-US" w:eastAsia="zh-CN" w:bidi="ar"/>
              </w:rPr>
              <w:t>生活污水</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本项目生活污水排放量240m</w:t>
            </w:r>
            <w:r>
              <w:rPr>
                <w:rFonts w:hint="default" w:ascii="Times New Roman" w:hAnsi="Times New Roman" w:eastAsia="宋体" w:cs="Times New Roman"/>
                <w:color w:val="auto"/>
                <w:sz w:val="24"/>
                <w:vertAlign w:val="superscript"/>
                <w:lang w:bidi="ar"/>
              </w:rPr>
              <w:t>3</w:t>
            </w:r>
            <w:r>
              <w:rPr>
                <w:rFonts w:hint="default" w:ascii="Times New Roman" w:hAnsi="Times New Roman" w:eastAsia="宋体" w:cs="Times New Roman"/>
                <w:color w:val="auto"/>
                <w:sz w:val="24"/>
                <w:lang w:bidi="ar"/>
              </w:rPr>
              <w:t>/a，经化粪池处理后进入市政管网，最终进武进城区污水处理厂集中处理，尾水排入采菱港。</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本项目废水污染物排放情况见表5-</w:t>
            </w:r>
            <w:r>
              <w:rPr>
                <w:rFonts w:hint="default" w:ascii="Times New Roman" w:hAnsi="Times New Roman" w:eastAsia="宋体" w:cs="Times New Roman"/>
                <w:color w:val="auto"/>
                <w:sz w:val="24"/>
                <w:lang w:val="en-US" w:eastAsia="zh-CN" w:bidi="ar"/>
              </w:rPr>
              <w:t>10</w:t>
            </w:r>
            <w:r>
              <w:rPr>
                <w:rFonts w:hint="default" w:ascii="Times New Roman" w:hAnsi="Times New Roman" w:eastAsia="宋体" w:cs="Times New Roman"/>
                <w:color w:val="auto"/>
                <w:sz w:val="24"/>
                <w:lang w:bidi="ar"/>
              </w:rPr>
              <w:t>。</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default" w:ascii="Times New Roman" w:hAnsi="Times New Roman" w:cs="Times New Roman"/>
                <w:color w:val="auto"/>
                <w:lang w:val="en-US" w:eastAsia="zh-CN"/>
              </w:rPr>
              <w:t>10</w:t>
            </w:r>
            <w:r>
              <w:rPr>
                <w:rFonts w:hint="default" w:ascii="Times New Roman" w:hAnsi="Times New Roman" w:cs="Times New Roman"/>
                <w:color w:val="auto"/>
              </w:rPr>
              <w:t xml:space="preserve"> 本项目污染物产排情况一览表</w:t>
            </w:r>
          </w:p>
          <w:tbl>
            <w:tblPr>
              <w:tblStyle w:val="14"/>
              <w:tblW w:w="8286" w:type="dxa"/>
              <w:tblInd w:w="0" w:type="dxa"/>
              <w:tblLayout w:type="fixed"/>
              <w:tblCellMar>
                <w:top w:w="0" w:type="dxa"/>
                <w:left w:w="108" w:type="dxa"/>
                <w:bottom w:w="0" w:type="dxa"/>
                <w:right w:w="108" w:type="dxa"/>
              </w:tblCellMar>
            </w:tblPr>
            <w:tblGrid>
              <w:gridCol w:w="826"/>
              <w:gridCol w:w="738"/>
              <w:gridCol w:w="926"/>
              <w:gridCol w:w="826"/>
              <w:gridCol w:w="827"/>
              <w:gridCol w:w="826"/>
              <w:gridCol w:w="839"/>
              <w:gridCol w:w="826"/>
              <w:gridCol w:w="826"/>
              <w:gridCol w:w="826"/>
            </w:tblGrid>
            <w:tr>
              <w:tblPrEx>
                <w:tblLayout w:type="fixed"/>
                <w:tblCellMar>
                  <w:top w:w="0" w:type="dxa"/>
                  <w:left w:w="108" w:type="dxa"/>
                  <w:bottom w:w="0" w:type="dxa"/>
                  <w:right w:w="108" w:type="dxa"/>
                </w:tblCellMar>
              </w:tblPrEx>
              <w:trPr>
                <w:trHeight w:val="285" w:hRule="atLeast"/>
              </w:trPr>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废水来源</w:t>
                  </w:r>
                </w:p>
              </w:tc>
              <w:tc>
                <w:tcPr>
                  <w:tcW w:w="738"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废水量t/a</w:t>
                  </w:r>
                </w:p>
              </w:tc>
              <w:tc>
                <w:tcPr>
                  <w:tcW w:w="2579" w:type="dxa"/>
                  <w:gridSpan w:val="3"/>
                  <w:tcBorders>
                    <w:top w:val="single" w:color="000000" w:sz="8" w:space="0"/>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污染物产生量</w:t>
                  </w:r>
                </w:p>
              </w:tc>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采取的处理方式</w:t>
                  </w:r>
                </w:p>
              </w:tc>
              <w:tc>
                <w:tcPr>
                  <w:tcW w:w="2491" w:type="dxa"/>
                  <w:gridSpan w:val="3"/>
                  <w:tcBorders>
                    <w:top w:val="single" w:color="000000" w:sz="8" w:space="0"/>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污染物排放情况</w:t>
                  </w:r>
                </w:p>
              </w:tc>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排放去向</w:t>
                  </w:r>
                </w:p>
              </w:tc>
            </w:tr>
            <w:tr>
              <w:tblPrEx>
                <w:tblLayout w:type="fixed"/>
                <w:tblCellMar>
                  <w:top w:w="0" w:type="dxa"/>
                  <w:left w:w="108" w:type="dxa"/>
                  <w:bottom w:w="0" w:type="dxa"/>
                  <w:right w:w="108" w:type="dxa"/>
                </w:tblCellMar>
              </w:tblPrEx>
              <w:trPr>
                <w:trHeight w:val="555" w:hRule="atLeast"/>
              </w:trPr>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污染物名称</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浓度mg/L</w:t>
                  </w:r>
                </w:p>
              </w:tc>
              <w:tc>
                <w:tcPr>
                  <w:tcW w:w="827"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产生量t/a</w:t>
                  </w:r>
                </w:p>
              </w:tc>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污染物名称</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浓度mg/L</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排放量t/a</w:t>
                  </w:r>
                </w:p>
              </w:tc>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生活污水</w:t>
                  </w:r>
                </w:p>
              </w:tc>
              <w:tc>
                <w:tcPr>
                  <w:tcW w:w="738"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24</w:t>
                  </w:r>
                  <w:r>
                    <w:rPr>
                      <w:rFonts w:hint="default" w:ascii="Times New Roman" w:hAnsi="Times New Roman" w:cs="Times New Roman"/>
                      <w:color w:val="auto"/>
                      <w:kern w:val="0"/>
                      <w:sz w:val="21"/>
                      <w:szCs w:val="21"/>
                      <w:lang w:val="en-US" w:eastAsia="zh-CN"/>
                    </w:rPr>
                    <w:t>0</w:t>
                  </w: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COD</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400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0.096</w:t>
                  </w:r>
                </w:p>
              </w:tc>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化粪池</w:t>
                  </w: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COD</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武进城区污水处理厂</w:t>
                  </w: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SS</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300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0.072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SS</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31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0.0096</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3</w:t>
                  </w:r>
                  <w:r>
                    <w:rPr>
                      <w:rFonts w:hint="default" w:ascii="Times New Roman" w:hAnsi="Times New Roman" w:cs="Times New Roman"/>
                      <w:color w:val="auto"/>
                      <w:kern w:val="0"/>
                      <w:sz w:val="21"/>
                      <w:szCs w:val="21"/>
                    </w:rPr>
                    <w:t>5</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TP</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5</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TP</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60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0.0144</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w:t>
            </w:r>
            <w:r>
              <w:rPr>
                <w:rFonts w:hint="default" w:ascii="Times New Roman" w:hAnsi="Times New Roman" w:eastAsia="宋体" w:cs="Times New Roman"/>
                <w:color w:val="auto"/>
                <w:sz w:val="24"/>
                <w:lang w:val="en-US" w:eastAsia="zh-CN"/>
              </w:rPr>
              <w:t>武进城区污水处理厂</w:t>
            </w:r>
            <w:r>
              <w:rPr>
                <w:rFonts w:hint="default" w:ascii="Times New Roman" w:hAnsi="Times New Roman" w:eastAsia="宋体" w:cs="Times New Roman"/>
                <w:color w:val="auto"/>
                <w:sz w:val="24"/>
                <w:lang w:bidi="ar"/>
              </w:rPr>
              <w:t>接管可行性分析</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武进城区污水处理厂总设计处理能力达8万m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/d，目前实际日处理污水量达7.5万m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/d，剩余能力0.5万m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/d。本项目投产后新增排水</w:t>
            </w:r>
            <w:r>
              <w:rPr>
                <w:rFonts w:hint="eastAsia"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lang w:val="en-US" w:eastAsia="zh-CN"/>
              </w:rPr>
              <w:t>.8m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/d，废水仅占富余量0.</w:t>
            </w:r>
            <w:r>
              <w:rPr>
                <w:rFonts w:hint="eastAsia"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%，因此本项目废水不会对污水处理厂产生冲击影响，污水厂完全有能力接纳本项目的废水。由此可见，本项目污水接管具有可行性。污水经达标处理后排放，对受纳水体采菱港影响很小，水质功能可维持现状。</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2、废气</w:t>
            </w:r>
          </w:p>
          <w:p>
            <w:pPr>
              <w:pStyle w:val="17"/>
              <w:spacing w:line="360" w:lineRule="auto"/>
              <w:ind w:left="420" w:leftChars="200"/>
              <w:rPr>
                <w:rFonts w:hint="default" w:ascii="Times New Roman" w:hAnsi="Times New Roman" w:eastAsia="宋体" w:cs="Times New Roman"/>
                <w:color w:val="auto"/>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w:t>
            </w:r>
            <w:r>
              <w:rPr>
                <w:rFonts w:hint="default" w:ascii="Times New Roman" w:hAnsi="Times New Roman" w:eastAsia="宋体" w:cs="Times New Roman"/>
                <w:color w:val="auto"/>
              </w:rPr>
              <w:t>废气污染防治措施</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①</w:t>
            </w:r>
            <w:r>
              <w:rPr>
                <w:rFonts w:hint="eastAsia" w:ascii="Times New Roman" w:hAnsi="Times New Roman" w:cs="Times New Roman"/>
                <w:color w:val="auto"/>
                <w:lang w:val="en-US" w:eastAsia="zh-CN"/>
              </w:rPr>
              <w:t>有机废气</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本项目注塑废气经移动式活性炭吸附装置收集、处理后（收集率 90%、处理率 90%）在车间内无组织排放</w:t>
            </w:r>
            <w:r>
              <w:rPr>
                <w:rFonts w:hint="eastAsia" w:ascii="Times New Roman" w:hAnsi="Times New Roman" w:cs="Times New Roman"/>
                <w:color w:val="auto"/>
                <w:lang w:val="en-US" w:eastAsia="zh-CN"/>
              </w:rPr>
              <w:t>。</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color w:val="auto"/>
                <w:lang w:val="en-US" w:eastAsia="zh-CN"/>
              </w:rPr>
            </w:pPr>
            <w:r>
              <w:rPr>
                <w:rFonts w:hint="default" w:ascii="Times New Roman" w:hAnsi="Times New Roman" w:eastAsia="宋体" w:cs="Times New Roman"/>
                <w:color w:val="auto"/>
                <w:lang w:val="en-US" w:eastAsia="zh-CN"/>
              </w:rPr>
              <w:t>②</w:t>
            </w:r>
            <w:r>
              <w:rPr>
                <w:rFonts w:hint="default" w:ascii="Times New Roman" w:hAnsi="Times New Roman" w:cs="Times New Roman"/>
                <w:color w:val="auto"/>
                <w:lang w:val="en-US" w:eastAsia="zh-CN"/>
              </w:rPr>
              <w:t>烟粉尘</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本项目焊接烟尘由移动式焊接烟尘净化装置收集、处理后（收集率 90%、处理率 90%）在车间内无组织排放</w:t>
            </w:r>
            <w:r>
              <w:rPr>
                <w:rFonts w:hint="eastAsia" w:ascii="Times New Roman" w:hAnsi="Times New Roman" w:cs="Times New Roman"/>
                <w:color w:val="auto"/>
                <w:lang w:val="en-US" w:eastAsia="zh-CN"/>
              </w:rPr>
              <w:t>。</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color w:val="auto"/>
              </w:rPr>
              <w:t>本项目废气污染防治措施见下表。</w:t>
            </w:r>
          </w:p>
          <w:p>
            <w:pPr>
              <w:pStyle w:val="17"/>
              <w:spacing w:line="360" w:lineRule="auto"/>
              <w:ind w:left="420" w:leftChars="20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表5-</w:t>
            </w:r>
            <w:r>
              <w:rPr>
                <w:rFonts w:hint="default" w:ascii="Times New Roman" w:hAnsi="Times New Roman" w:cs="Times New Roman"/>
                <w:b/>
                <w:bCs/>
                <w:color w:val="auto"/>
                <w:lang w:val="en-US" w:eastAsia="zh-CN"/>
              </w:rPr>
              <w:t xml:space="preserve">12 </w:t>
            </w:r>
            <w:r>
              <w:rPr>
                <w:rFonts w:hint="default" w:ascii="Times New Roman" w:hAnsi="Times New Roman" w:eastAsia="宋体" w:cs="Times New Roman"/>
                <w:b/>
                <w:bCs/>
                <w:color w:val="auto"/>
              </w:rPr>
              <w:t>本项目废气污染防治措施</w:t>
            </w:r>
          </w:p>
          <w:tbl>
            <w:tblPr>
              <w:tblStyle w:val="14"/>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755"/>
              <w:gridCol w:w="1215"/>
              <w:gridCol w:w="3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17"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废气编号</w:t>
                  </w:r>
                </w:p>
              </w:tc>
              <w:tc>
                <w:tcPr>
                  <w:tcW w:w="1755"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污染工序</w:t>
                  </w:r>
                </w:p>
              </w:tc>
              <w:tc>
                <w:tcPr>
                  <w:tcW w:w="1215"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污染因子</w:t>
                  </w:r>
                </w:p>
              </w:tc>
              <w:tc>
                <w:tcPr>
                  <w:tcW w:w="3715"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17" w:type="dxa"/>
                  <w:vMerge w:val="continue"/>
                  <w:vAlign w:val="center"/>
                </w:tcPr>
                <w:p>
                  <w:pPr>
                    <w:rPr>
                      <w:rFonts w:hint="default" w:ascii="Times New Roman" w:hAnsi="Times New Roman" w:cs="Times New Roman"/>
                      <w:b/>
                      <w:bCs/>
                      <w:sz w:val="21"/>
                      <w:szCs w:val="21"/>
                    </w:rPr>
                  </w:pPr>
                </w:p>
              </w:tc>
              <w:tc>
                <w:tcPr>
                  <w:tcW w:w="1755" w:type="dxa"/>
                  <w:vMerge w:val="continue"/>
                  <w:vAlign w:val="center"/>
                </w:tcPr>
                <w:p>
                  <w:pPr>
                    <w:rPr>
                      <w:rFonts w:hint="default" w:ascii="Times New Roman" w:hAnsi="Times New Roman" w:cs="Times New Roman"/>
                      <w:b/>
                      <w:bCs/>
                      <w:sz w:val="21"/>
                      <w:szCs w:val="21"/>
                    </w:rPr>
                  </w:pPr>
                </w:p>
              </w:tc>
              <w:tc>
                <w:tcPr>
                  <w:tcW w:w="1215" w:type="dxa"/>
                  <w:vMerge w:val="continue"/>
                  <w:vAlign w:val="center"/>
                </w:tcPr>
                <w:p>
                  <w:pPr>
                    <w:rPr>
                      <w:rFonts w:hint="default" w:ascii="Times New Roman" w:hAnsi="Times New Roman" w:cs="Times New Roman"/>
                      <w:b/>
                      <w:bCs/>
                      <w:sz w:val="21"/>
                      <w:szCs w:val="21"/>
                    </w:rPr>
                  </w:pPr>
                </w:p>
              </w:tc>
              <w:tc>
                <w:tcPr>
                  <w:tcW w:w="3715" w:type="dxa"/>
                  <w:vMerge w:val="continue"/>
                  <w:vAlign w:val="center"/>
                </w:tcPr>
                <w:p>
                  <w:pPr>
                    <w:rPr>
                      <w:rFonts w:hint="default"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17"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G</w:t>
                  </w:r>
                  <w:r>
                    <w:rPr>
                      <w:rFonts w:hint="eastAsia" w:ascii="Times New Roman" w:hAnsi="Times New Roman" w:cs="Times New Roman"/>
                      <w:sz w:val="21"/>
                      <w:szCs w:val="21"/>
                      <w:lang w:val="en-US" w:eastAsia="zh-CN"/>
                    </w:rPr>
                    <w:t>1</w:t>
                  </w:r>
                </w:p>
              </w:tc>
              <w:tc>
                <w:tcPr>
                  <w:tcW w:w="1755"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焊接</w:t>
                  </w:r>
                </w:p>
              </w:tc>
              <w:tc>
                <w:tcPr>
                  <w:tcW w:w="1215" w:type="dxa"/>
                  <w:shd w:val="clear" w:color="auto" w:fill="auto"/>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val="en-US" w:eastAsia="zh-CN"/>
                    </w:rPr>
                    <w:t>锡及其化合物</w:t>
                  </w:r>
                </w:p>
              </w:tc>
              <w:tc>
                <w:tcPr>
                  <w:tcW w:w="3715"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经移动式焊接烟尘净化装置</w:t>
                  </w:r>
                  <w:r>
                    <w:rPr>
                      <w:rFonts w:hint="default" w:ascii="Times New Roman" w:hAnsi="Times New Roman" w:eastAsia="宋体" w:cs="Times New Roman"/>
                      <w:color w:val="auto"/>
                      <w:lang w:val="en-US" w:eastAsia="zh-CN"/>
                    </w:rPr>
                    <w:t>处理后</w:t>
                  </w:r>
                  <w:r>
                    <w:rPr>
                      <w:rFonts w:hint="default" w:ascii="Times New Roman" w:hAnsi="Times New Roman" w:cs="Times New Roman"/>
                      <w:sz w:val="21"/>
                      <w:szCs w:val="21"/>
                      <w:lang w:val="en-US" w:eastAsia="zh-CN"/>
                    </w:rPr>
                    <w:t>于车间内无组织排放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17" w:type="dxa"/>
                  <w:shd w:val="clear" w:color="auto" w:fill="auto"/>
                  <w:vAlign w:val="center"/>
                </w:tcPr>
                <w:p>
                  <w:pPr>
                    <w:jc w:val="center"/>
                    <w:rPr>
                      <w:rFonts w:hint="eastAsia" w:ascii="Times New Roman" w:hAnsi="Times New Roman" w:cs="Times New Roman" w:eastAsiaTheme="minorEastAsia"/>
                      <w:sz w:val="21"/>
                      <w:szCs w:val="21"/>
                      <w:lang w:eastAsia="zh-CN"/>
                    </w:rPr>
                  </w:pPr>
                  <w:r>
                    <w:rPr>
                      <w:rFonts w:hint="default" w:ascii="Times New Roman" w:hAnsi="Times New Roman" w:cs="Times New Roman"/>
                      <w:sz w:val="21"/>
                      <w:szCs w:val="21"/>
                    </w:rPr>
                    <w:t>G</w:t>
                  </w:r>
                  <w:r>
                    <w:rPr>
                      <w:rFonts w:hint="eastAsia" w:ascii="Times New Roman" w:hAnsi="Times New Roman" w:cs="Times New Roman"/>
                      <w:sz w:val="21"/>
                      <w:szCs w:val="21"/>
                      <w:lang w:val="en-US" w:eastAsia="zh-CN"/>
                    </w:rPr>
                    <w:t>2</w:t>
                  </w:r>
                </w:p>
              </w:tc>
              <w:tc>
                <w:tcPr>
                  <w:tcW w:w="1755" w:type="dxa"/>
                  <w:shd w:val="clear" w:color="auto" w:fill="auto"/>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注塑</w:t>
                  </w:r>
                </w:p>
              </w:tc>
              <w:tc>
                <w:tcPr>
                  <w:tcW w:w="1215" w:type="dxa"/>
                  <w:shd w:val="clear" w:color="auto" w:fill="auto"/>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非甲烷总烃</w:t>
                  </w:r>
                </w:p>
              </w:tc>
              <w:tc>
                <w:tcPr>
                  <w:tcW w:w="3715"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经移动式活性炭吸附装置处理后在车间内无组织排放</w:t>
                  </w:r>
                </w:p>
              </w:tc>
            </w:tr>
          </w:tbl>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color w:val="auto"/>
              </w:rPr>
              <w:t>本项目废气污染防治措施示意图见下图：</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3898900" cy="1281430"/>
                  <wp:effectExtent l="0" t="0" r="2540" b="1397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9"/>
                          <a:srcRect t="19945" r="10751"/>
                          <a:stretch>
                            <a:fillRect/>
                          </a:stretch>
                        </pic:blipFill>
                        <pic:spPr>
                          <a:xfrm>
                            <a:off x="0" y="0"/>
                            <a:ext cx="3898900" cy="1281430"/>
                          </a:xfrm>
                          <a:prstGeom prst="rect">
                            <a:avLst/>
                          </a:prstGeom>
                        </pic:spPr>
                      </pic:pic>
                    </a:graphicData>
                  </a:graphic>
                </wp:inline>
              </w:drawing>
            </w:r>
          </w:p>
          <w:p>
            <w:pPr>
              <w:spacing w:line="360" w:lineRule="auto"/>
              <w:jc w:val="center"/>
              <w:rPr>
                <w:rFonts w:hint="default" w:ascii="Times New Roman" w:hAnsi="Times New Roman" w:cs="Times New Roman"/>
                <w:color w:val="auto"/>
              </w:rPr>
            </w:pPr>
            <w:r>
              <w:rPr>
                <w:rFonts w:hint="default" w:ascii="Times New Roman" w:hAnsi="Times New Roman" w:eastAsia="宋体" w:cs="Times New Roman"/>
                <w:b/>
                <w:bCs/>
                <w:color w:val="auto"/>
                <w:sz w:val="24"/>
                <w:lang w:val="en-US" w:eastAsia="zh-CN"/>
              </w:rPr>
              <w:t>图5-6 废气污染防治措施示意图</w:t>
            </w:r>
          </w:p>
        </w:tc>
      </w:tr>
    </w:tbl>
    <w:p>
      <w:pPr>
        <w:rPr>
          <w:rFonts w:hint="default"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tbl>
      <w:tblPr>
        <w:tblStyle w:val="15"/>
        <w:tblW w:w="851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7" w:type="dxa"/>
          </w:tcPr>
          <w:p>
            <w:pPr>
              <w:ind w:firstLine="480"/>
              <w:rPr>
                <w:rFonts w:hint="default" w:ascii="Times New Roman" w:hAnsi="Times New Roman" w:eastAsia="宋体" w:cs="Times New Roman"/>
                <w:b w:val="0"/>
                <w:color w:val="auto"/>
                <w:kern w:val="2"/>
                <w:sz w:val="24"/>
                <w:szCs w:val="24"/>
                <w:lang w:val="en-US" w:eastAsia="zh-CN" w:bidi="ar-SA"/>
              </w:rPr>
            </w:pPr>
            <w:r>
              <w:rPr>
                <w:rFonts w:hint="default" w:ascii="Times New Roman" w:hAnsi="Times New Roman" w:eastAsia="宋体" w:cs="Times New Roman"/>
                <w:b w:val="0"/>
                <w:color w:val="auto"/>
                <w:kern w:val="2"/>
                <w:sz w:val="24"/>
                <w:szCs w:val="24"/>
                <w:lang w:val="en-US" w:eastAsia="zh-CN" w:bidi="ar-SA"/>
              </w:rPr>
              <w:t>（2）排放情况</w:t>
            </w:r>
          </w:p>
          <w:p>
            <w:pPr>
              <w:pStyle w:val="26"/>
              <w:rPr>
                <w:rFonts w:hint="default" w:ascii="Times New Roman" w:hAnsi="Times New Roman" w:cs="Times New Roman"/>
                <w:color w:val="auto"/>
              </w:rPr>
            </w:pPr>
            <w:r>
              <w:rPr>
                <w:rFonts w:hint="default" w:ascii="Times New Roman" w:hAnsi="Times New Roman" w:cs="Times New Roman"/>
                <w:color w:val="auto"/>
              </w:rPr>
              <w:t>表5-1</w:t>
            </w:r>
            <w:r>
              <w:rPr>
                <w:rFonts w:hint="eastAsia" w:cs="Times New Roman"/>
                <w:color w:val="auto"/>
                <w:lang w:val="en-US" w:eastAsia="zh-CN"/>
              </w:rPr>
              <w:t>3</w:t>
            </w:r>
            <w:r>
              <w:rPr>
                <w:rFonts w:hint="default" w:ascii="Times New Roman" w:hAnsi="Times New Roman" w:cs="Times New Roman"/>
                <w:color w:val="auto"/>
              </w:rPr>
              <w:t xml:space="preserve"> 本项目无组织排放情况表</w:t>
            </w:r>
          </w:p>
          <w:tbl>
            <w:tblPr>
              <w:tblStyle w:val="14"/>
              <w:tblW w:w="8281" w:type="dxa"/>
              <w:tblInd w:w="0" w:type="dxa"/>
              <w:shd w:val="clear" w:color="auto" w:fill="auto"/>
              <w:tblLayout w:type="fixed"/>
              <w:tblCellMar>
                <w:top w:w="0" w:type="dxa"/>
                <w:left w:w="0" w:type="dxa"/>
                <w:bottom w:w="0" w:type="dxa"/>
                <w:right w:w="0" w:type="dxa"/>
              </w:tblCellMar>
            </w:tblPr>
            <w:tblGrid>
              <w:gridCol w:w="1035"/>
              <w:gridCol w:w="1035"/>
              <w:gridCol w:w="1036"/>
              <w:gridCol w:w="1035"/>
              <w:gridCol w:w="1035"/>
              <w:gridCol w:w="1035"/>
              <w:gridCol w:w="1035"/>
              <w:gridCol w:w="1035"/>
            </w:tblGrid>
            <w:tr>
              <w:tblPrEx>
                <w:shd w:val="clear" w:color="auto" w:fill="auto"/>
                <w:tblLayout w:type="fixed"/>
                <w:tblCellMar>
                  <w:top w:w="0" w:type="dxa"/>
                  <w:left w:w="0" w:type="dxa"/>
                  <w:bottom w:w="0" w:type="dxa"/>
                  <w:right w:w="0" w:type="dxa"/>
                </w:tblCellMar>
              </w:tblPrEx>
              <w:trPr>
                <w:trHeight w:val="585" w:hRule="atLeast"/>
              </w:trPr>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污染源位置</w:t>
                  </w:r>
                </w:p>
              </w:tc>
              <w:tc>
                <w:tcPr>
                  <w:tcW w:w="10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污染物</w:t>
                  </w:r>
                </w:p>
              </w:tc>
              <w:tc>
                <w:tcPr>
                  <w:tcW w:w="10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产生量t/a</w:t>
                  </w:r>
                </w:p>
              </w:tc>
              <w:tc>
                <w:tcPr>
                  <w:tcW w:w="10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削减量t/a</w:t>
                  </w:r>
                </w:p>
              </w:tc>
              <w:tc>
                <w:tcPr>
                  <w:tcW w:w="10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排放量t/a</w:t>
                  </w:r>
                </w:p>
              </w:tc>
              <w:tc>
                <w:tcPr>
                  <w:tcW w:w="10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排放速率kg/h</w:t>
                  </w:r>
                </w:p>
              </w:tc>
              <w:tc>
                <w:tcPr>
                  <w:tcW w:w="10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面源面积（m</w:t>
                  </w:r>
                  <w:r>
                    <w:rPr>
                      <w:rFonts w:hint="default" w:ascii="Times New Roman" w:hAnsi="Times New Roman" w:eastAsia="宋体" w:cs="Times New Roman"/>
                      <w:b/>
                      <w:i w:val="0"/>
                      <w:color w:val="000000"/>
                      <w:kern w:val="0"/>
                      <w:sz w:val="21"/>
                      <w:szCs w:val="21"/>
                      <w:u w:val="none"/>
                      <w:vertAlign w:val="superscript"/>
                      <w:lang w:val="en-US" w:eastAsia="zh-CN" w:bidi="ar"/>
                    </w:rPr>
                    <w:t>2</w:t>
                  </w:r>
                  <w:r>
                    <w:rPr>
                      <w:rFonts w:hint="default" w:ascii="Times New Roman" w:hAnsi="Times New Roman" w:eastAsia="宋体" w:cs="Times New Roman"/>
                      <w:b/>
                      <w:i w:val="0"/>
                      <w:color w:val="000000"/>
                      <w:kern w:val="0"/>
                      <w:sz w:val="21"/>
                      <w:szCs w:val="21"/>
                      <w:u w:val="none"/>
                      <w:lang w:val="en-US" w:eastAsia="zh-CN" w:bidi="ar"/>
                    </w:rPr>
                    <w:t>）</w:t>
                  </w:r>
                </w:p>
              </w:tc>
              <w:tc>
                <w:tcPr>
                  <w:tcW w:w="10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面源高度</w:t>
                  </w:r>
                </w:p>
              </w:tc>
            </w:tr>
            <w:tr>
              <w:tblPrEx>
                <w:shd w:val="clear" w:color="auto" w:fill="auto"/>
                <w:tblLayout w:type="fixed"/>
                <w:tblCellMar>
                  <w:top w:w="0" w:type="dxa"/>
                  <w:left w:w="0" w:type="dxa"/>
                  <w:bottom w:w="0" w:type="dxa"/>
                  <w:right w:w="0" w:type="dxa"/>
                </w:tblCellMar>
              </w:tblPrEx>
              <w:trPr>
                <w:trHeight w:val="825" w:hRule="atLeast"/>
              </w:trPr>
              <w:tc>
                <w:tcPr>
                  <w:tcW w:w="103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生产车间</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非甲烷总烃</w:t>
                  </w:r>
                </w:p>
              </w:tc>
              <w:tc>
                <w:tcPr>
                  <w:tcW w:w="10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0.0003</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0.00024</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0.00006</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sz w:val="21"/>
                      <w:szCs w:val="21"/>
                      <w:lang w:val="en-US" w:eastAsia="zh-CN"/>
                    </w:rPr>
                    <w:t>0.0002</w:t>
                  </w:r>
                </w:p>
              </w:tc>
              <w:tc>
                <w:tcPr>
                  <w:tcW w:w="103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600</w:t>
                  </w:r>
                </w:p>
              </w:tc>
              <w:tc>
                <w:tcPr>
                  <w:tcW w:w="103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4</w:t>
                  </w:r>
                </w:p>
              </w:tc>
            </w:tr>
            <w:tr>
              <w:tblPrEx>
                <w:shd w:val="clear" w:color="auto" w:fill="auto"/>
                <w:tblLayout w:type="fixed"/>
                <w:tblCellMar>
                  <w:top w:w="0" w:type="dxa"/>
                  <w:left w:w="0" w:type="dxa"/>
                  <w:bottom w:w="0" w:type="dxa"/>
                  <w:right w:w="0" w:type="dxa"/>
                </w:tblCellMar>
              </w:tblPrEx>
              <w:trPr>
                <w:trHeight w:val="600" w:hRule="atLeast"/>
              </w:trPr>
              <w:tc>
                <w:tcPr>
                  <w:tcW w:w="103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锡及其化合物</w:t>
                  </w:r>
                </w:p>
              </w:tc>
              <w:tc>
                <w:tcPr>
                  <w:tcW w:w="10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0.005</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0.00405</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0.00095</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0.0004</w:t>
                  </w:r>
                </w:p>
              </w:tc>
              <w:tc>
                <w:tcPr>
                  <w:tcW w:w="10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污染防治措施可行性论证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①锡焊废气</w:t>
            </w:r>
            <w:r>
              <w:rPr>
                <w:rFonts w:hint="default" w:ascii="Times New Roman" w:hAnsi="Times New Roman" w:eastAsia="宋体" w:cs="Times New Roman"/>
                <w:color w:val="auto"/>
                <w:sz w:val="24"/>
              </w:rPr>
              <w:t>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w:t>
            </w:r>
            <w:r>
              <w:rPr>
                <w:rFonts w:hint="eastAsia" w:ascii="Times New Roman" w:hAnsi="Times New Roman" w:eastAsia="宋体" w:cs="Times New Roman"/>
                <w:color w:val="auto"/>
                <w:sz w:val="24"/>
                <w:lang w:val="en-US" w:eastAsia="zh-CN"/>
              </w:rPr>
              <w:t>焊接</w:t>
            </w:r>
            <w:r>
              <w:rPr>
                <w:rFonts w:hint="default" w:ascii="Times New Roman" w:hAnsi="Times New Roman" w:eastAsia="宋体" w:cs="Times New Roman"/>
                <w:color w:val="auto"/>
                <w:sz w:val="24"/>
              </w:rPr>
              <w:t>产生</w:t>
            </w:r>
            <w:r>
              <w:rPr>
                <w:rFonts w:hint="eastAsia" w:ascii="Times New Roman" w:hAnsi="Times New Roman" w:eastAsia="宋体" w:cs="Times New Roman"/>
                <w:color w:val="auto"/>
                <w:sz w:val="24"/>
                <w:lang w:val="en-US" w:eastAsia="zh-CN"/>
              </w:rPr>
              <w:t>焊接烟尘（</w:t>
            </w:r>
            <w:r>
              <w:rPr>
                <w:rFonts w:hint="default" w:ascii="Times New Roman" w:hAnsi="Times New Roman" w:eastAsia="宋体" w:cs="Times New Roman"/>
                <w:color w:val="auto"/>
                <w:sz w:val="24"/>
                <w:lang w:val="en-US" w:eastAsia="zh-CN"/>
              </w:rPr>
              <w:t>锡及其化合物</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经移动式焊接烟尘净化装置</w:t>
            </w:r>
            <w:r>
              <w:rPr>
                <w:rFonts w:hint="default" w:ascii="Times New Roman" w:hAnsi="Times New Roman" w:eastAsia="宋体" w:cs="Times New Roman"/>
                <w:color w:val="auto"/>
                <w:sz w:val="24"/>
              </w:rPr>
              <w:t>处理</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尾气</w:t>
            </w:r>
            <w:r>
              <w:rPr>
                <w:rFonts w:hint="default" w:ascii="Times New Roman" w:hAnsi="Times New Roman" w:eastAsia="宋体" w:cs="Times New Roman"/>
                <w:color w:val="auto"/>
                <w:sz w:val="24"/>
                <w:lang w:val="en-US" w:eastAsia="zh-CN"/>
              </w:rPr>
              <w:t>无</w:t>
            </w:r>
            <w:r>
              <w:rPr>
                <w:rFonts w:hint="default" w:ascii="Times New Roman" w:hAnsi="Times New Roman" w:eastAsia="宋体" w:cs="Times New Roman"/>
                <w:color w:val="auto"/>
                <w:sz w:val="24"/>
              </w:rPr>
              <w:t>组织排放。移动式焊接烟尘净化装置对颗粒物的去除效率可达99%以上，本项目取9</w:t>
            </w:r>
            <w:r>
              <w:rPr>
                <w:rFonts w:hint="default"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焊接</w:t>
            </w:r>
            <w:r>
              <w:rPr>
                <w:rFonts w:hint="default" w:ascii="Times New Roman" w:hAnsi="Times New Roman" w:eastAsia="宋体" w:cs="Times New Roman"/>
                <w:color w:val="auto"/>
                <w:sz w:val="24"/>
              </w:rPr>
              <w:t>产生</w:t>
            </w:r>
            <w:r>
              <w:rPr>
                <w:rFonts w:hint="default" w:ascii="Times New Roman" w:hAnsi="Times New Roman" w:eastAsia="宋体" w:cs="Times New Roman"/>
                <w:color w:val="auto"/>
                <w:sz w:val="24"/>
                <w:lang w:val="en-US" w:eastAsia="zh-CN"/>
              </w:rPr>
              <w:t>锡及其化合物</w:t>
            </w:r>
            <w:r>
              <w:rPr>
                <w:rFonts w:hint="default" w:ascii="Times New Roman" w:hAnsi="Times New Roman" w:eastAsia="宋体" w:cs="Times New Roman"/>
                <w:color w:val="auto"/>
                <w:sz w:val="24"/>
              </w:rPr>
              <w:t>经处理后排放浓度、排放速率可以达到《大气污染物综合排放标准》（GB16297-1996）表2中二级排放标准。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②</w:t>
            </w:r>
            <w:r>
              <w:rPr>
                <w:rFonts w:hint="eastAsia" w:ascii="Times New Roman" w:hAnsi="Times New Roman" w:eastAsia="宋体" w:cs="Times New Roman"/>
                <w:color w:val="auto"/>
                <w:sz w:val="24"/>
                <w:lang w:val="en-US" w:eastAsia="zh-CN"/>
              </w:rPr>
              <w:t>注塑</w:t>
            </w:r>
            <w:r>
              <w:rPr>
                <w:rFonts w:hint="default" w:ascii="Times New Roman" w:hAnsi="Times New Roman" w:eastAsia="宋体" w:cs="Times New Roman"/>
                <w:color w:val="auto"/>
                <w:sz w:val="24"/>
              </w:rPr>
              <w:t>废气污染防治措施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本项目注塑废气产生量很小，因此，</w:t>
            </w:r>
            <w:r>
              <w:rPr>
                <w:rFonts w:hint="default" w:ascii="Times New Roman" w:hAnsi="Times New Roman" w:eastAsia="宋体" w:cs="Times New Roman"/>
                <w:color w:val="auto"/>
                <w:sz w:val="24"/>
              </w:rPr>
              <w:t>注塑废气经移动式活性炭吸附装置处理后在车间内无组织排放</w:t>
            </w:r>
            <w:r>
              <w:rPr>
                <w:rFonts w:hint="eastAsia" w:ascii="Times New Roman" w:hAnsi="Times New Roman" w:eastAsia="宋体" w:cs="Times New Roman"/>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活性炭吸附装置主要净化机理是活性炭对有机废气的物理吸附性能，活性炭比表面积大，微孔发达，孔径分布广，吸附容量大，对有机废气的净化率高，根据《活性炭治理含苯废气》一文（摘自《环境科学动态》），经多次吸附试验（测试净化前后瞬时浓度）得出，平均去除效率达到96%。本项目保守估计，活性炭吸附装置对</w:t>
            </w:r>
            <w:r>
              <w:rPr>
                <w:rFonts w:hint="eastAsia" w:ascii="Times New Roman" w:hAnsi="Times New Roman" w:eastAsia="宋体" w:cs="Times New Roman"/>
                <w:color w:val="auto"/>
                <w:sz w:val="24"/>
                <w:lang w:val="en-US" w:eastAsia="zh-CN"/>
              </w:rPr>
              <w:t>非甲烷总烃</w:t>
            </w:r>
            <w:r>
              <w:rPr>
                <w:rFonts w:hint="default" w:ascii="Times New Roman" w:hAnsi="Times New Roman" w:eastAsia="宋体" w:cs="Times New Roman"/>
                <w:color w:val="auto"/>
                <w:sz w:val="24"/>
              </w:rPr>
              <w:t>去除效率取</w:t>
            </w:r>
            <w:r>
              <w:rPr>
                <w:rFonts w:hint="eastAsia"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注塑</w:t>
            </w:r>
            <w:r>
              <w:rPr>
                <w:rFonts w:hint="default" w:ascii="Times New Roman" w:hAnsi="Times New Roman" w:eastAsia="宋体" w:cs="Times New Roman"/>
                <w:color w:val="auto"/>
                <w:sz w:val="24"/>
              </w:rPr>
              <w:t>废气经处理后</w:t>
            </w:r>
            <w:r>
              <w:rPr>
                <w:rFonts w:hint="eastAsia" w:ascii="Times New Roman" w:hAnsi="Times New Roman" w:eastAsia="宋体" w:cs="Times New Roman"/>
                <w:color w:val="auto"/>
                <w:sz w:val="24"/>
                <w:lang w:val="en-US" w:eastAsia="zh-CN"/>
              </w:rPr>
              <w:t>非甲烷总烃</w:t>
            </w:r>
            <w:r>
              <w:rPr>
                <w:rFonts w:hint="default" w:ascii="Times New Roman" w:hAnsi="Times New Roman" w:eastAsia="宋体" w:cs="Times New Roman"/>
                <w:color w:val="auto"/>
                <w:sz w:val="24"/>
              </w:rPr>
              <w:t>排放浓度、排放速率可以达到《合成树脂工业污染物排放标准》（GB 31572-2015）</w:t>
            </w:r>
            <w:r>
              <w:rPr>
                <w:rFonts w:hint="eastAsia" w:ascii="Times New Roman" w:hAnsi="Times New Roman" w:eastAsia="宋体" w:cs="Times New Roman"/>
                <w:color w:val="auto"/>
                <w:sz w:val="24"/>
                <w:lang w:val="en-US" w:eastAsia="zh-CN"/>
              </w:rPr>
              <w:t>中</w:t>
            </w:r>
            <w:r>
              <w:rPr>
                <w:rFonts w:hint="default" w:ascii="Times New Roman" w:hAnsi="Times New Roman" w:eastAsia="宋体" w:cs="Times New Roman"/>
                <w:color w:val="auto"/>
                <w:sz w:val="24"/>
              </w:rPr>
              <w:t>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综上所述，本项目废气污染防治措施可行。</w:t>
            </w:r>
          </w:p>
          <w:p>
            <w:pPr>
              <w:numPr>
                <w:ilvl w:val="0"/>
                <w:numId w:val="0"/>
              </w:numPr>
              <w:spacing w:line="360" w:lineRule="auto"/>
              <w:ind w:left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固废污染防治措施</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本项目固废产生情况及处置方式见下表。</w:t>
            </w:r>
          </w:p>
          <w:p>
            <w:pPr>
              <w:pStyle w:val="17"/>
              <w:jc w:val="center"/>
              <w:rPr>
                <w:rFonts w:hint="default" w:ascii="Times New Roman" w:hAnsi="Times New Roman" w:eastAsia="宋体" w:cs="Times New Roman"/>
                <w:b/>
                <w:bCs/>
                <w:color w:val="auto"/>
                <w:kern w:val="2"/>
                <w:szCs w:val="32"/>
              </w:rPr>
            </w:pPr>
            <w:r>
              <w:rPr>
                <w:rFonts w:hint="default" w:ascii="Times New Roman" w:hAnsi="Times New Roman" w:eastAsia="宋体" w:cs="Times New Roman"/>
                <w:b/>
                <w:bCs/>
                <w:color w:val="auto"/>
                <w:kern w:val="2"/>
                <w:szCs w:val="32"/>
              </w:rPr>
              <w:t>表5-</w:t>
            </w:r>
            <w:r>
              <w:rPr>
                <w:rFonts w:hint="default" w:ascii="Times New Roman" w:hAnsi="Times New Roman" w:cs="Times New Roman"/>
                <w:b/>
                <w:bCs/>
                <w:color w:val="auto"/>
                <w:kern w:val="2"/>
                <w:szCs w:val="32"/>
                <w:lang w:val="en-US" w:eastAsia="zh-CN"/>
              </w:rPr>
              <w:t>16</w:t>
            </w:r>
            <w:r>
              <w:rPr>
                <w:rFonts w:hint="default" w:ascii="Times New Roman" w:hAnsi="Times New Roman" w:eastAsia="宋体" w:cs="Times New Roman"/>
                <w:b/>
                <w:bCs/>
                <w:color w:val="auto"/>
                <w:kern w:val="2"/>
                <w:szCs w:val="32"/>
              </w:rPr>
              <w:t xml:space="preserve"> 本项目固废产生情况及处置方式</w:t>
            </w:r>
          </w:p>
          <w:tbl>
            <w:tblPr>
              <w:tblStyle w:val="14"/>
              <w:tblW w:w="8286" w:type="dxa"/>
              <w:tblInd w:w="0" w:type="dxa"/>
              <w:shd w:val="clear" w:color="auto" w:fill="auto"/>
              <w:tblLayout w:type="fixed"/>
              <w:tblCellMar>
                <w:top w:w="0" w:type="dxa"/>
                <w:left w:w="0" w:type="dxa"/>
                <w:bottom w:w="0" w:type="dxa"/>
                <w:right w:w="0" w:type="dxa"/>
              </w:tblCellMar>
            </w:tblPr>
            <w:tblGrid>
              <w:gridCol w:w="753"/>
              <w:gridCol w:w="754"/>
              <w:gridCol w:w="753"/>
              <w:gridCol w:w="753"/>
              <w:gridCol w:w="753"/>
              <w:gridCol w:w="754"/>
              <w:gridCol w:w="753"/>
              <w:gridCol w:w="753"/>
              <w:gridCol w:w="753"/>
              <w:gridCol w:w="754"/>
              <w:gridCol w:w="753"/>
            </w:tblGrid>
            <w:tr>
              <w:tblPrEx>
                <w:shd w:val="clear" w:color="auto" w:fill="auto"/>
                <w:tblLayout w:type="fixed"/>
                <w:tblCellMar>
                  <w:top w:w="0" w:type="dxa"/>
                  <w:left w:w="0" w:type="dxa"/>
                  <w:bottom w:w="0" w:type="dxa"/>
                  <w:right w:w="0" w:type="dxa"/>
                </w:tblCellMar>
              </w:tblPrEx>
              <w:trPr>
                <w:trHeight w:val="1263" w:hRule="atLeast"/>
              </w:trPr>
              <w:tc>
                <w:tcPr>
                  <w:tcW w:w="75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75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固废名称</w:t>
                  </w:r>
                </w:p>
              </w:tc>
              <w:tc>
                <w:tcPr>
                  <w:tcW w:w="7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属性</w:t>
                  </w:r>
                </w:p>
              </w:tc>
              <w:tc>
                <w:tcPr>
                  <w:tcW w:w="7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产生工序</w:t>
                  </w:r>
                </w:p>
              </w:tc>
              <w:tc>
                <w:tcPr>
                  <w:tcW w:w="7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形态</w:t>
                  </w:r>
                </w:p>
              </w:tc>
              <w:tc>
                <w:tcPr>
                  <w:tcW w:w="75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主要</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成分</w:t>
                  </w:r>
                </w:p>
              </w:tc>
              <w:tc>
                <w:tcPr>
                  <w:tcW w:w="7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危险特性</w:t>
                  </w:r>
                </w:p>
              </w:tc>
              <w:tc>
                <w:tcPr>
                  <w:tcW w:w="7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废物类别</w:t>
                  </w:r>
                </w:p>
              </w:tc>
              <w:tc>
                <w:tcPr>
                  <w:tcW w:w="7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废物代码</w:t>
                  </w:r>
                </w:p>
              </w:tc>
              <w:tc>
                <w:tcPr>
                  <w:tcW w:w="75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估算产生量（t/a）</w:t>
                  </w:r>
                </w:p>
              </w:tc>
              <w:tc>
                <w:tcPr>
                  <w:tcW w:w="7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处理处置方式</w:t>
                  </w:r>
                </w:p>
              </w:tc>
            </w:tr>
            <w:tr>
              <w:tblPrEx>
                <w:tblLayout w:type="fixed"/>
                <w:tblCellMar>
                  <w:top w:w="0" w:type="dxa"/>
                  <w:left w:w="0" w:type="dxa"/>
                  <w:bottom w:w="0" w:type="dxa"/>
                  <w:right w:w="0" w:type="dxa"/>
                </w:tblCellMar>
              </w:tblPrEx>
              <w:trPr>
                <w:trHeight w:val="540" w:hRule="atLeast"/>
              </w:trPr>
              <w:tc>
                <w:tcPr>
                  <w:tcW w:w="7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color w:val="auto"/>
                      <w:lang w:val="en-US" w:eastAsia="zh-CN"/>
                    </w:rPr>
                    <w:t>边角料和不合格产品</w:t>
                  </w:r>
                </w:p>
              </w:tc>
              <w:tc>
                <w:tcPr>
                  <w:tcW w:w="753" w:type="dxa"/>
                  <w:vMerge w:val="restart"/>
                  <w:tcBorders>
                    <w:top w:val="nil"/>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一般固废</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color w:val="auto"/>
                      <w:lang w:val="en-US" w:eastAsia="zh-CN"/>
                    </w:rPr>
                    <w:t>组装</w:t>
                  </w:r>
                  <w:r>
                    <w:rPr>
                      <w:rFonts w:hint="eastAsia" w:cs="Times New Roman"/>
                      <w:color w:val="auto"/>
                      <w:lang w:val="en-US" w:eastAsia="zh-CN"/>
                    </w:rPr>
                    <w:t>、</w:t>
                  </w:r>
                  <w:r>
                    <w:rPr>
                      <w:rFonts w:hint="default" w:ascii="Times New Roman" w:hAnsi="Times New Roman" w:eastAsia="宋体" w:cs="Times New Roman"/>
                      <w:color w:val="auto"/>
                      <w:lang w:val="en-US" w:eastAsia="zh-CN"/>
                    </w:rPr>
                    <w:t>检测</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电线</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0.5</w:t>
                  </w:r>
                </w:p>
              </w:tc>
              <w:tc>
                <w:tcPr>
                  <w:tcW w:w="753" w:type="dxa"/>
                  <w:vMerge w:val="restart"/>
                  <w:tcBorders>
                    <w:top w:val="nil"/>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外售综合利用</w:t>
                  </w:r>
                </w:p>
              </w:tc>
            </w:tr>
            <w:tr>
              <w:tblPrEx>
                <w:tblLayout w:type="fixed"/>
                <w:tblCellMar>
                  <w:top w:w="0" w:type="dxa"/>
                  <w:left w:w="0" w:type="dxa"/>
                  <w:bottom w:w="0" w:type="dxa"/>
                  <w:right w:w="0" w:type="dxa"/>
                </w:tblCellMar>
              </w:tblPrEx>
              <w:trPr>
                <w:trHeight w:val="285" w:hRule="atLeast"/>
              </w:trPr>
              <w:tc>
                <w:tcPr>
                  <w:tcW w:w="7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废包装材料</w:t>
                  </w:r>
                </w:p>
              </w:tc>
              <w:tc>
                <w:tcPr>
                  <w:tcW w:w="753"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包装</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塑料</w:t>
                  </w:r>
                  <w:r>
                    <w:rPr>
                      <w:rFonts w:hint="eastAsia" w:cs="Times New Roman"/>
                      <w:color w:val="auto"/>
                      <w:lang w:val="en-US" w:eastAsia="zh-CN"/>
                    </w:rPr>
                    <w:t>、纸</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0.</w:t>
                  </w:r>
                  <w:r>
                    <w:rPr>
                      <w:rFonts w:hint="eastAsia" w:cs="Times New Roman"/>
                      <w:color w:val="auto"/>
                      <w:lang w:val="en-US" w:eastAsia="zh-CN"/>
                    </w:rPr>
                    <w:t>02</w:t>
                  </w:r>
                </w:p>
              </w:tc>
              <w:tc>
                <w:tcPr>
                  <w:tcW w:w="753"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540" w:hRule="atLeast"/>
              </w:trPr>
              <w:tc>
                <w:tcPr>
                  <w:tcW w:w="7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废活性炭</w:t>
                  </w:r>
                </w:p>
              </w:tc>
              <w:tc>
                <w:tcPr>
                  <w:tcW w:w="75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危险固废</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废气处理</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有机物</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T/In</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HW49</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900-041-49</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0.001</w:t>
                  </w:r>
                </w:p>
              </w:tc>
              <w:tc>
                <w:tcPr>
                  <w:tcW w:w="75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委托有资质单位处理</w:t>
                  </w:r>
                </w:p>
              </w:tc>
            </w:tr>
            <w:tr>
              <w:tblPrEx>
                <w:tblLayout w:type="fixed"/>
                <w:tblCellMar>
                  <w:top w:w="0" w:type="dxa"/>
                  <w:left w:w="0" w:type="dxa"/>
                  <w:bottom w:w="0" w:type="dxa"/>
                  <w:right w:w="0" w:type="dxa"/>
                </w:tblCellMar>
              </w:tblPrEx>
              <w:trPr>
                <w:trHeight w:val="780" w:hRule="atLeast"/>
              </w:trPr>
              <w:tc>
                <w:tcPr>
                  <w:tcW w:w="7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4</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废滤网</w:t>
                  </w:r>
                </w:p>
              </w:tc>
              <w:tc>
                <w:tcPr>
                  <w:tcW w:w="75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锡焊净化</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default" w:ascii="Times New Roman" w:hAnsi="Times New Roman" w:cs="Times New Roman"/>
                      <w:color w:val="auto"/>
                      <w:lang w:val="en-US" w:eastAsia="zh-CN"/>
                    </w:rPr>
                    <w:t>锡、铁</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T/In</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HW49</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900-041-49</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0.01</w:t>
                  </w:r>
                </w:p>
              </w:tc>
              <w:tc>
                <w:tcPr>
                  <w:tcW w:w="75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540" w:hRule="atLeast"/>
              </w:trPr>
              <w:tc>
                <w:tcPr>
                  <w:tcW w:w="7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5</w:t>
                  </w:r>
                </w:p>
              </w:tc>
              <w:tc>
                <w:tcPr>
                  <w:tcW w:w="15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生活垃圾</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员工生活</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生活垃圾</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1.5</w:t>
                  </w:r>
                </w:p>
              </w:tc>
              <w:tc>
                <w:tcPr>
                  <w:tcW w:w="7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环卫收集处理</w:t>
                  </w:r>
                </w:p>
              </w:tc>
            </w:tr>
          </w:tbl>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本项目设置</w:t>
            </w:r>
            <w:r>
              <w:rPr>
                <w:rFonts w:hint="default" w:ascii="Times New Roman" w:hAnsi="Times New Roman" w:eastAsia="宋体" w:cs="Times New Roman"/>
                <w:color w:val="auto"/>
                <w:sz w:val="24"/>
                <w:lang w:val="en-US" w:eastAsia="zh-CN" w:bidi="ar"/>
              </w:rPr>
              <w:t>1</w:t>
            </w:r>
            <w:r>
              <w:rPr>
                <w:rFonts w:hint="default" w:ascii="Times New Roman" w:hAnsi="Times New Roman" w:eastAsia="宋体" w:cs="Times New Roman"/>
                <w:color w:val="auto"/>
                <w:sz w:val="24"/>
                <w:lang w:bidi="ar"/>
              </w:rPr>
              <w:t>个一般工业固废仓库，占地面积</w:t>
            </w:r>
            <w:r>
              <w:rPr>
                <w:rFonts w:hint="eastAsia" w:ascii="Times New Roman" w:hAnsi="Times New Roman" w:eastAsia="宋体" w:cs="Times New Roman"/>
                <w:color w:val="auto"/>
                <w:sz w:val="24"/>
                <w:lang w:val="en-US" w:eastAsia="zh-CN" w:bidi="ar"/>
              </w:rPr>
              <w:t>1</w:t>
            </w:r>
            <w:r>
              <w:rPr>
                <w:rFonts w:hint="default" w:ascii="Times New Roman" w:hAnsi="Times New Roman" w:eastAsia="宋体" w:cs="Times New Roman"/>
                <w:color w:val="auto"/>
                <w:sz w:val="24"/>
                <w:lang w:bidi="ar"/>
              </w:rPr>
              <w:t>0m</w:t>
            </w:r>
            <w:r>
              <w:rPr>
                <w:rFonts w:hint="default" w:ascii="Times New Roman" w:hAnsi="Times New Roman" w:eastAsia="宋体" w:cs="Times New Roman"/>
                <w:color w:val="auto"/>
                <w:sz w:val="24"/>
                <w:vertAlign w:val="superscript"/>
                <w:lang w:bidi="ar"/>
              </w:rPr>
              <w:t>2</w:t>
            </w:r>
            <w:r>
              <w:rPr>
                <w:rFonts w:hint="default" w:ascii="Times New Roman" w:hAnsi="Times New Roman" w:eastAsia="宋体" w:cs="Times New Roman"/>
                <w:color w:val="auto"/>
                <w:sz w:val="24"/>
                <w:lang w:bidi="ar"/>
              </w:rPr>
              <w:t>，用于堆放一般工业固废。一般工业固废的暂存场所需按照《一般工业固体废物贮存、处置污染控制标准》（GB18599-2001）、《关于发布〈一般工业固体废物贮存、处置场污染控制标准〉（GB18599-2001）等3项国家污染物控制标准修改单的公告》中修改单要求建设。</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本项目设置一个危废仓库，占地面积</w:t>
            </w:r>
            <w:r>
              <w:rPr>
                <w:rFonts w:hint="eastAsia"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bidi="ar"/>
              </w:rPr>
              <w:t>m</w:t>
            </w:r>
            <w:r>
              <w:rPr>
                <w:rFonts w:hint="default" w:ascii="Times New Roman" w:hAnsi="Times New Roman" w:eastAsia="宋体" w:cs="Times New Roman"/>
                <w:color w:val="auto"/>
                <w:sz w:val="24"/>
                <w:vertAlign w:val="superscript"/>
                <w:lang w:bidi="ar"/>
              </w:rPr>
              <w:t>2</w:t>
            </w:r>
            <w:r>
              <w:rPr>
                <w:rFonts w:hint="default" w:ascii="Times New Roman" w:hAnsi="Times New Roman" w:eastAsia="宋体" w:cs="Times New Roman"/>
                <w:color w:val="auto"/>
                <w:sz w:val="24"/>
                <w:lang w:bidi="ar"/>
              </w:rPr>
              <w:t>，危废仓库按照《危险废物贮存污染控制标准》（GB18597-2001）《关于发布〈一般工业固体废物贮存、处置场污染控制标准〉（GB18599-2001）等3项国家污染物控制标准修改单的公告》中修改单要求建设。</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本项目建成后全厂危险固废包括</w:t>
            </w:r>
            <w:r>
              <w:rPr>
                <w:rFonts w:hint="eastAsia" w:ascii="Times New Roman" w:hAnsi="Times New Roman" w:eastAsia="宋体" w:cs="Times New Roman"/>
                <w:color w:val="auto"/>
                <w:sz w:val="24"/>
                <w:lang w:val="en-US" w:eastAsia="zh-CN" w:bidi="ar"/>
              </w:rPr>
              <w:t>0.001</w:t>
            </w:r>
            <w:r>
              <w:rPr>
                <w:rFonts w:hint="default" w:ascii="Times New Roman" w:hAnsi="Times New Roman" w:eastAsia="宋体" w:cs="Times New Roman"/>
                <w:color w:val="auto"/>
                <w:sz w:val="24"/>
                <w:lang w:bidi="ar"/>
              </w:rPr>
              <w:t>t/a废活性炭、</w:t>
            </w:r>
            <w:r>
              <w:rPr>
                <w:rFonts w:hint="eastAsia" w:ascii="Times New Roman" w:hAnsi="Times New Roman" w:eastAsia="宋体" w:cs="Times New Roman"/>
                <w:color w:val="auto"/>
                <w:sz w:val="24"/>
                <w:lang w:val="en-US" w:eastAsia="zh-CN" w:bidi="ar"/>
              </w:rPr>
              <w:t>0.01</w:t>
            </w:r>
            <w:r>
              <w:rPr>
                <w:rFonts w:hint="default" w:ascii="Times New Roman" w:hAnsi="Times New Roman" w:eastAsia="宋体" w:cs="Times New Roman"/>
                <w:color w:val="auto"/>
                <w:sz w:val="24"/>
                <w:lang w:bidi="ar"/>
              </w:rPr>
              <w:t>t/a废</w:t>
            </w:r>
            <w:r>
              <w:rPr>
                <w:rFonts w:hint="eastAsia" w:ascii="Times New Roman" w:hAnsi="Times New Roman" w:eastAsia="宋体" w:cs="Times New Roman"/>
                <w:color w:val="auto"/>
                <w:sz w:val="24"/>
                <w:lang w:val="en-US" w:eastAsia="zh-CN" w:bidi="ar"/>
              </w:rPr>
              <w:t>滤网</w:t>
            </w: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废滤网</w:t>
            </w:r>
            <w:r>
              <w:rPr>
                <w:rFonts w:hint="default" w:ascii="Times New Roman" w:hAnsi="Times New Roman" w:eastAsia="宋体" w:cs="Times New Roman"/>
                <w:color w:val="auto"/>
                <w:sz w:val="24"/>
                <w:lang w:bidi="ar"/>
              </w:rPr>
              <w:t>、废活性炭采用袋装。危险固废仓库每m</w:t>
            </w:r>
            <w:r>
              <w:rPr>
                <w:rFonts w:hint="default" w:ascii="Times New Roman" w:hAnsi="Times New Roman" w:eastAsia="宋体" w:cs="Times New Roman"/>
                <w:color w:val="auto"/>
                <w:sz w:val="24"/>
                <w:vertAlign w:val="superscript"/>
                <w:lang w:bidi="ar"/>
              </w:rPr>
              <w:t>2</w:t>
            </w:r>
            <w:r>
              <w:rPr>
                <w:rFonts w:hint="default" w:ascii="Times New Roman" w:hAnsi="Times New Roman" w:eastAsia="宋体" w:cs="Times New Roman"/>
                <w:color w:val="auto"/>
                <w:sz w:val="24"/>
                <w:lang w:bidi="ar"/>
              </w:rPr>
              <w:t>可储存危废量约1000kg（桶装危废可叠放储存），危废堆场有效利用率为</w:t>
            </w:r>
            <w:r>
              <w:rPr>
                <w:rFonts w:hint="default"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0%，因此危险固废仓库最大容量约</w:t>
            </w:r>
            <w:r>
              <w:rPr>
                <w:rFonts w:hint="eastAsia" w:ascii="Times New Roman" w:hAnsi="Times New Roman" w:eastAsia="宋体" w:cs="Times New Roman"/>
                <w:color w:val="auto"/>
                <w:sz w:val="24"/>
                <w:lang w:val="en-US" w:eastAsia="zh-CN" w:bidi="ar"/>
              </w:rPr>
              <w:t>3.5</w:t>
            </w:r>
            <w:r>
              <w:rPr>
                <w:rFonts w:hint="default" w:ascii="Times New Roman" w:hAnsi="Times New Roman" w:eastAsia="宋体" w:cs="Times New Roman"/>
                <w:color w:val="auto"/>
                <w:sz w:val="24"/>
                <w:lang w:bidi="ar"/>
              </w:rPr>
              <w:t>t，可以满足厂内危废3个月的储存量，因此危险固废仓库面积能够满足全厂危废贮存需求。</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根据《中华人民共和国固体废物污染环境防治法》第五十八条第二款：贮存危险废物必须采取符合国家环境保护标准的防护措施，并不得超过一年；确需延长期限的，必须报经原批准经营许可证的环境保护行政主管部门批准；法律、法规另有规定的除外。本项目建成后危险固废厂内贮存时间最长3个月，能够满足相关要求。</w:t>
            </w:r>
          </w:p>
          <w:p>
            <w:pPr>
              <w:spacing w:line="360" w:lineRule="auto"/>
              <w:ind w:firstLine="480" w:firstLineChars="200"/>
              <w:rPr>
                <w:rFonts w:hint="default" w:ascii="Times New Roman" w:hAnsi="Times New Roman" w:eastAsia="宋体" w:cs="Times New Roman"/>
                <w:b/>
                <w:color w:val="auto"/>
                <w:sz w:val="24"/>
                <w:lang w:bidi="ar"/>
              </w:rPr>
            </w:pPr>
            <w:r>
              <w:rPr>
                <w:rFonts w:hint="default" w:ascii="Times New Roman" w:hAnsi="Times New Roman" w:eastAsia="宋体" w:cs="Times New Roman"/>
                <w:color w:val="auto"/>
                <w:sz w:val="24"/>
                <w:lang w:bidi="ar"/>
              </w:rPr>
              <w:t>危险废物堆场满足防雨淋、防风、防扬散、防火、防盗等要求；堆场地面应满足防腐、防渗等要求，堆场内应设灭火器等应急物资。同时建设单位需加强管理，完善台帐；各种危险废物均应通过密闭的包装桶收集，暂存在危险废物堆场内，由危险废物处置单位负责上门运输。</w:t>
            </w:r>
          </w:p>
          <w:p>
            <w:pPr>
              <w:spacing w:line="360" w:lineRule="auto"/>
              <w:ind w:firstLine="482" w:firstLineChars="200"/>
              <w:jc w:val="center"/>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lang w:bidi="ar"/>
              </w:rPr>
              <w:t>表5-</w:t>
            </w:r>
            <w:r>
              <w:rPr>
                <w:rFonts w:hint="default" w:ascii="Times New Roman" w:hAnsi="Times New Roman" w:eastAsia="宋体" w:cs="Times New Roman"/>
                <w:b/>
                <w:color w:val="auto"/>
                <w:sz w:val="24"/>
                <w:lang w:val="en-US" w:eastAsia="zh-CN" w:bidi="ar"/>
              </w:rPr>
              <w:t>17</w:t>
            </w:r>
            <w:r>
              <w:rPr>
                <w:rFonts w:hint="default" w:ascii="Times New Roman" w:hAnsi="Times New Roman" w:eastAsia="宋体" w:cs="Times New Roman"/>
                <w:b/>
                <w:color w:val="auto"/>
                <w:sz w:val="24"/>
                <w:lang w:bidi="ar"/>
              </w:rPr>
              <w:t>本项目建成后全厂危险废物贮存场所（设施）基本情况表</w:t>
            </w:r>
          </w:p>
          <w:tbl>
            <w:tblPr>
              <w:tblStyle w:val="14"/>
              <w:tblW w:w="808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8"/>
              <w:gridCol w:w="912"/>
              <w:gridCol w:w="1064"/>
              <w:gridCol w:w="780"/>
              <w:gridCol w:w="1320"/>
              <w:gridCol w:w="636"/>
              <w:gridCol w:w="648"/>
              <w:gridCol w:w="811"/>
              <w:gridCol w:w="679"/>
              <w:gridCol w:w="8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8" w:type="dxa"/>
                  <w:tcBorders>
                    <w:top w:val="single" w:color="auto" w:sz="8" w:space="0"/>
                    <w:left w:val="single" w:color="auto" w:sz="8"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序号</w:t>
                  </w:r>
                </w:p>
              </w:tc>
              <w:tc>
                <w:tcPr>
                  <w:tcW w:w="912"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贮存场所（设施）名称</w:t>
                  </w:r>
                </w:p>
              </w:tc>
              <w:tc>
                <w:tcPr>
                  <w:tcW w:w="1064"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危险废物名称</w:t>
                  </w:r>
                </w:p>
              </w:tc>
              <w:tc>
                <w:tcPr>
                  <w:tcW w:w="780"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危险废物类别</w:t>
                  </w:r>
                </w:p>
              </w:tc>
              <w:tc>
                <w:tcPr>
                  <w:tcW w:w="1320"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危险废物代码</w:t>
                  </w:r>
                </w:p>
              </w:tc>
              <w:tc>
                <w:tcPr>
                  <w:tcW w:w="636"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位置</w:t>
                  </w:r>
                </w:p>
              </w:tc>
              <w:tc>
                <w:tcPr>
                  <w:tcW w:w="648"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占地面积</w:t>
                  </w:r>
                </w:p>
              </w:tc>
              <w:tc>
                <w:tcPr>
                  <w:tcW w:w="811"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贮存方式</w:t>
                  </w:r>
                </w:p>
              </w:tc>
              <w:tc>
                <w:tcPr>
                  <w:tcW w:w="679"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贮存</w:t>
                  </w:r>
                </w:p>
                <w:p>
                  <w:pPr>
                    <w:pStyle w:val="23"/>
                    <w:widowControl/>
                    <w:rPr>
                      <w:rFonts w:hint="default" w:ascii="Times New Roman" w:hAnsi="Times New Roman" w:cs="Times New Roman"/>
                      <w:b/>
                      <w:color w:val="auto"/>
                    </w:rPr>
                  </w:pPr>
                  <w:r>
                    <w:rPr>
                      <w:rFonts w:hint="default" w:ascii="Times New Roman" w:hAnsi="Times New Roman" w:cs="Times New Roman"/>
                      <w:b/>
                      <w:color w:val="auto"/>
                    </w:rPr>
                    <w:t>能力</w:t>
                  </w:r>
                </w:p>
              </w:tc>
              <w:tc>
                <w:tcPr>
                  <w:tcW w:w="809" w:type="dxa"/>
                  <w:tcBorders>
                    <w:top w:val="single" w:color="auto" w:sz="8" w:space="0"/>
                    <w:left w:val="single" w:color="auto" w:sz="4" w:space="0"/>
                    <w:bottom w:val="single" w:color="auto" w:sz="4" w:space="0"/>
                    <w:right w:val="single" w:color="auto" w:sz="8"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贮存</w:t>
                  </w:r>
                </w:p>
                <w:p>
                  <w:pPr>
                    <w:pStyle w:val="23"/>
                    <w:widowControl/>
                    <w:rPr>
                      <w:rFonts w:hint="default" w:ascii="Times New Roman" w:hAnsi="Times New Roman" w:cs="Times New Roman"/>
                      <w:b/>
                      <w:color w:val="auto"/>
                    </w:rPr>
                  </w:pPr>
                  <w:r>
                    <w:rPr>
                      <w:rFonts w:hint="default" w:ascii="Times New Roman" w:hAnsi="Times New Roman" w:cs="Times New Roman"/>
                      <w:b/>
                      <w:color w:val="auto"/>
                    </w:rPr>
                    <w:t>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8"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1</w:t>
                  </w:r>
                </w:p>
              </w:tc>
              <w:tc>
                <w:tcPr>
                  <w:tcW w:w="912" w:type="dxa"/>
                  <w:vMerge w:val="restart"/>
                  <w:tcBorders>
                    <w:top w:val="single" w:color="auto" w:sz="4" w:space="0"/>
                    <w:left w:val="single" w:color="auto" w:sz="4" w:space="0"/>
                    <w:right w:val="single" w:color="auto" w:sz="4" w:space="0"/>
                  </w:tcBorders>
                  <w:shd w:val="clear" w:color="auto" w:fill="auto"/>
                  <w:vAlign w:val="center"/>
                </w:tcPr>
                <w:p>
                  <w:pPr>
                    <w:pStyle w:val="23"/>
                    <w:widowControl/>
                    <w:rPr>
                      <w:rFonts w:hint="eastAsia" w:eastAsia="宋体"/>
                      <w:lang w:val="en-US" w:eastAsia="zh-CN"/>
                    </w:rPr>
                  </w:pPr>
                  <w:r>
                    <w:rPr>
                      <w:rFonts w:hint="default"/>
                    </w:rPr>
                    <w:t>危废</w:t>
                  </w:r>
                  <w:r>
                    <w:rPr>
                      <w:rFonts w:hint="eastAsia"/>
                      <w:lang w:val="en-US" w:eastAsia="zh-CN"/>
                    </w:rPr>
                    <w:t>仓库</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废活性炭</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HW49</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900-041-49</w:t>
                  </w:r>
                </w:p>
              </w:tc>
              <w:tc>
                <w:tcPr>
                  <w:tcW w:w="636" w:type="dxa"/>
                  <w:vMerge w:val="restart"/>
                  <w:tcBorders>
                    <w:top w:val="single" w:color="auto" w:sz="4" w:space="0"/>
                    <w:left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生产车间</w:t>
                  </w:r>
                </w:p>
              </w:tc>
              <w:tc>
                <w:tcPr>
                  <w:tcW w:w="648" w:type="dxa"/>
                  <w:vMerge w:val="restart"/>
                  <w:tcBorders>
                    <w:top w:val="single" w:color="auto" w:sz="4" w:space="0"/>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5</w:t>
                  </w:r>
                  <w:r>
                    <w:rPr>
                      <w:rFonts w:hint="default" w:ascii="Times New Roman" w:hAnsi="Times New Roman" w:cs="Times New Roman"/>
                      <w:color w:val="auto"/>
                    </w:rPr>
                    <w:t>m</w:t>
                  </w:r>
                  <w:r>
                    <w:rPr>
                      <w:rFonts w:hint="default" w:ascii="Times New Roman" w:hAnsi="Times New Roman" w:cs="Times New Roman"/>
                      <w:color w:val="auto"/>
                      <w:vertAlign w:val="superscript"/>
                    </w:rPr>
                    <w:t>2</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袋装</w:t>
                  </w:r>
                </w:p>
              </w:tc>
              <w:tc>
                <w:tcPr>
                  <w:tcW w:w="679" w:type="dxa"/>
                  <w:vMerge w:val="restart"/>
                  <w:tcBorders>
                    <w:top w:val="single" w:color="auto" w:sz="4" w:space="0"/>
                    <w:left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3.5</w:t>
                  </w:r>
                  <w:r>
                    <w:rPr>
                      <w:rFonts w:hint="default" w:ascii="Times New Roman" w:hAnsi="Times New Roman" w:cs="Times New Roman"/>
                      <w:color w:val="auto"/>
                      <w:lang w:val="en-US" w:eastAsia="zh-CN"/>
                    </w:rPr>
                    <w:t>t</w:t>
                  </w:r>
                </w:p>
              </w:tc>
              <w:tc>
                <w:tcPr>
                  <w:tcW w:w="809" w:type="dxa"/>
                  <w:vMerge w:val="restart"/>
                  <w:tcBorders>
                    <w:top w:val="single" w:color="auto" w:sz="4" w:space="0"/>
                    <w:left w:val="single" w:color="auto" w:sz="4" w:space="0"/>
                    <w:right w:val="single" w:color="auto" w:sz="8"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bidi="ar"/>
                    </w:rPr>
                    <w:t>3个月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8"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w:t>
                  </w:r>
                </w:p>
              </w:tc>
              <w:tc>
                <w:tcPr>
                  <w:tcW w:w="912" w:type="dxa"/>
                  <w:vMerge w:val="continue"/>
                  <w:tcBorders>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废滤网</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HW49</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900-041-49</w:t>
                  </w:r>
                </w:p>
              </w:tc>
              <w:tc>
                <w:tcPr>
                  <w:tcW w:w="636" w:type="dxa"/>
                  <w:vMerge w:val="continue"/>
                  <w:tcBorders>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648" w:type="dxa"/>
                  <w:vMerge w:val="continue"/>
                  <w:tcBorders>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rPr>
                  </w:pPr>
                  <w:r>
                    <w:rPr>
                      <w:rFonts w:hint="default" w:ascii="Times New Roman" w:hAnsi="Times New Roman" w:cs="Times New Roman"/>
                      <w:color w:val="auto"/>
                      <w:lang w:val="en-US" w:eastAsia="zh-CN"/>
                    </w:rPr>
                    <w:t>袋装</w:t>
                  </w:r>
                </w:p>
              </w:tc>
              <w:tc>
                <w:tcPr>
                  <w:tcW w:w="679" w:type="dxa"/>
                  <w:vMerge w:val="continue"/>
                  <w:tcBorders>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809" w:type="dxa"/>
                  <w:vMerge w:val="continue"/>
                  <w:tcBorders>
                    <w:left w:val="single" w:color="auto" w:sz="4" w:space="0"/>
                    <w:right w:val="single" w:color="auto" w:sz="8" w:space="0"/>
                  </w:tcBorders>
                  <w:shd w:val="clear" w:color="auto" w:fill="auto"/>
                  <w:vAlign w:val="center"/>
                </w:tcPr>
                <w:p>
                  <w:pPr>
                    <w:spacing w:line="360" w:lineRule="auto"/>
                    <w:jc w:val="center"/>
                    <w:rPr>
                      <w:rFonts w:hint="default" w:ascii="Times New Roman" w:hAnsi="Times New Roman" w:eastAsia="宋体" w:cs="Times New Roman"/>
                      <w:color w:val="auto"/>
                      <w:szCs w:val="21"/>
                      <w:lang w:bidi="ar"/>
                    </w:rPr>
                  </w:pP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（3）运输过程的污染防治措施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企业危险废物从产生环节至贮存设施应使用专用运输推车将袋装、桶装包装完好的危险废物通过安全的路线运输，推车配备基础的清理物资，以防运输过程中发生风险事故。</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企业危险废物外部运输均由危险废物处置单位委托有资质的运输单位运输，不在本项目的评价范围内。</w:t>
            </w:r>
          </w:p>
          <w:p>
            <w:pPr>
              <w:pStyle w:val="17"/>
              <w:widowControl/>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rPr>
              <w:t>（4）固体废物的处置方式及去向</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本项目固体废物利用处置方式见下表。</w:t>
            </w:r>
          </w:p>
          <w:p>
            <w:pPr>
              <w:pStyle w:val="26"/>
              <w:widowControl/>
              <w:ind w:firstLine="480"/>
              <w:rPr>
                <w:rFonts w:hint="default" w:ascii="Times New Roman" w:hAnsi="Times New Roman" w:cs="Times New Roman"/>
                <w:color w:val="auto"/>
              </w:rPr>
            </w:pPr>
            <w:r>
              <w:rPr>
                <w:rFonts w:hint="default" w:ascii="Times New Roman" w:hAnsi="Times New Roman" w:cs="Times New Roman"/>
                <w:color w:val="auto"/>
              </w:rPr>
              <w:t>表5-</w:t>
            </w:r>
            <w:r>
              <w:rPr>
                <w:rFonts w:hint="default" w:ascii="Times New Roman" w:hAnsi="Times New Roman" w:cs="Times New Roman"/>
                <w:color w:val="auto"/>
                <w:lang w:val="en-US" w:eastAsia="zh-CN"/>
              </w:rPr>
              <w:t xml:space="preserve">18 </w:t>
            </w:r>
            <w:r>
              <w:rPr>
                <w:rFonts w:hint="default" w:ascii="Times New Roman" w:hAnsi="Times New Roman" w:cs="Times New Roman"/>
                <w:color w:val="auto"/>
              </w:rPr>
              <w:t>建设项目固体废物利用处置方式</w:t>
            </w:r>
          </w:p>
          <w:tbl>
            <w:tblPr>
              <w:tblStyle w:val="14"/>
              <w:tblW w:w="835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
              <w:gridCol w:w="1086"/>
              <w:gridCol w:w="1036"/>
              <w:gridCol w:w="1035"/>
              <w:gridCol w:w="1036"/>
              <w:gridCol w:w="2072"/>
              <w:gridCol w:w="10"/>
              <w:gridCol w:w="1025"/>
              <w:gridCol w:w="10"/>
              <w:gridCol w:w="102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wBefore w:w="10" w:type="dxa"/>
                <w:trHeight w:val="525" w:hRule="atLeast"/>
              </w:trPr>
              <w:tc>
                <w:tcPr>
                  <w:tcW w:w="10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固废名称</w:t>
                  </w:r>
                </w:p>
              </w:tc>
              <w:tc>
                <w:tcPr>
                  <w:tcW w:w="1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产生工序</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属性</w:t>
                  </w:r>
                </w:p>
              </w:tc>
              <w:tc>
                <w:tcPr>
                  <w:tcW w:w="2082" w:type="dxa"/>
                  <w:gridSpan w:val="2"/>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废物代码</w:t>
                  </w:r>
                </w:p>
              </w:tc>
              <w:tc>
                <w:tcPr>
                  <w:tcW w:w="1035"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产生量（吨/年）</w:t>
                  </w:r>
                </w:p>
              </w:tc>
              <w:tc>
                <w:tcPr>
                  <w:tcW w:w="103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利用处置方式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生活垃圾</w:t>
                  </w:r>
                </w:p>
              </w:tc>
              <w:tc>
                <w:tcPr>
                  <w:tcW w:w="1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办公生活</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生活垃圾</w:t>
                  </w:r>
                </w:p>
              </w:tc>
              <w:tc>
                <w:tcPr>
                  <w:tcW w:w="207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1035"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i w:val="0"/>
                      <w:color w:val="000000"/>
                      <w:kern w:val="0"/>
                      <w:sz w:val="21"/>
                      <w:szCs w:val="21"/>
                      <w:u w:val="none"/>
                      <w:lang w:val="en-US" w:eastAsia="zh-CN" w:bidi="ar"/>
                    </w:rPr>
                    <w:t>1.5</w:t>
                  </w:r>
                </w:p>
              </w:tc>
              <w:tc>
                <w:tcPr>
                  <w:tcW w:w="103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环卫收集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036"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color w:val="auto"/>
                      <w:lang w:val="en-US" w:eastAsia="zh-CN"/>
                    </w:rPr>
                    <w:t>边角料和不合格产品</w:t>
                  </w:r>
                </w:p>
              </w:tc>
              <w:tc>
                <w:tcPr>
                  <w:tcW w:w="1035"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color w:val="auto"/>
                      <w:lang w:val="en-US" w:eastAsia="zh-CN"/>
                    </w:rPr>
                    <w:t>组装</w:t>
                  </w:r>
                  <w:r>
                    <w:rPr>
                      <w:rFonts w:hint="eastAsia" w:cs="Times New Roman"/>
                      <w:color w:val="auto"/>
                      <w:lang w:val="en-US" w:eastAsia="zh-CN"/>
                    </w:rPr>
                    <w:t>、</w:t>
                  </w:r>
                  <w:r>
                    <w:rPr>
                      <w:rFonts w:hint="default" w:ascii="Times New Roman" w:hAnsi="Times New Roman" w:eastAsia="宋体" w:cs="Times New Roman"/>
                      <w:color w:val="auto"/>
                      <w:lang w:val="en-US" w:eastAsia="zh-CN"/>
                    </w:rPr>
                    <w:t>检测</w:t>
                  </w:r>
                </w:p>
              </w:tc>
              <w:tc>
                <w:tcPr>
                  <w:tcW w:w="103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一般固废</w:t>
                  </w:r>
                </w:p>
              </w:tc>
              <w:tc>
                <w:tcPr>
                  <w:tcW w:w="207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auto"/>
                      <w:lang w:val="en-US" w:eastAsia="zh-CN"/>
                    </w:rPr>
                    <w:t>0.5</w:t>
                  </w:r>
                </w:p>
              </w:tc>
              <w:tc>
                <w:tcPr>
                  <w:tcW w:w="1036"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委外综合利用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036"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auto"/>
                      <w:lang w:val="en-US" w:eastAsia="zh-CN"/>
                    </w:rPr>
                    <w:t>废包装材料</w:t>
                  </w:r>
                </w:p>
              </w:tc>
              <w:tc>
                <w:tcPr>
                  <w:tcW w:w="1035"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auto"/>
                      <w:lang w:val="en-US" w:eastAsia="zh-CN"/>
                    </w:rPr>
                    <w:t>包装</w:t>
                  </w:r>
                </w:p>
              </w:tc>
              <w:tc>
                <w:tcPr>
                  <w:tcW w:w="1036"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07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auto"/>
                      <w:lang w:val="en-US" w:eastAsia="zh-CN"/>
                    </w:rPr>
                    <w:t>0.</w:t>
                  </w:r>
                  <w:r>
                    <w:rPr>
                      <w:rFonts w:hint="eastAsia" w:cs="Times New Roman"/>
                      <w:color w:val="auto"/>
                      <w:lang w:val="en-US" w:eastAsia="zh-CN"/>
                    </w:rPr>
                    <w:t>02</w:t>
                  </w:r>
                </w:p>
              </w:tc>
              <w:tc>
                <w:tcPr>
                  <w:tcW w:w="1036" w:type="dxa"/>
                  <w:gridSpan w:val="2"/>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4</w:t>
                  </w:r>
                </w:p>
              </w:tc>
              <w:tc>
                <w:tcPr>
                  <w:tcW w:w="1036"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auto"/>
                      <w:lang w:val="en-US" w:eastAsia="zh-CN"/>
                    </w:rPr>
                    <w:t>废活性炭</w:t>
                  </w:r>
                </w:p>
              </w:tc>
              <w:tc>
                <w:tcPr>
                  <w:tcW w:w="1035"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auto"/>
                      <w:lang w:val="en-US" w:eastAsia="zh-CN"/>
                    </w:rPr>
                    <w:t>废气处理</w:t>
                  </w:r>
                </w:p>
              </w:tc>
              <w:tc>
                <w:tcPr>
                  <w:tcW w:w="103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危险固废</w:t>
                  </w:r>
                </w:p>
              </w:tc>
              <w:tc>
                <w:tcPr>
                  <w:tcW w:w="20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HW49 900-041-49</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0.001</w:t>
                  </w:r>
                </w:p>
              </w:tc>
              <w:tc>
                <w:tcPr>
                  <w:tcW w:w="1036"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5</w:t>
                  </w:r>
                </w:p>
              </w:tc>
              <w:tc>
                <w:tcPr>
                  <w:tcW w:w="1036"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auto"/>
                      <w:lang w:val="en-US" w:eastAsia="zh-CN"/>
                    </w:rPr>
                    <w:t>废滤网</w:t>
                  </w:r>
                </w:p>
              </w:tc>
              <w:tc>
                <w:tcPr>
                  <w:tcW w:w="1035"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1"/>
                      <w:szCs w:val="21"/>
                      <w:u w:val="none"/>
                      <w:lang w:val="en-US" w:eastAsia="zh-CN" w:bidi="ar"/>
                    </w:rPr>
                    <w:t>锡焊净化</w:t>
                  </w:r>
                </w:p>
              </w:tc>
              <w:tc>
                <w:tcPr>
                  <w:tcW w:w="1036"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0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HW49 900-041-49</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0.01</w:t>
                  </w:r>
                </w:p>
              </w:tc>
              <w:tc>
                <w:tcPr>
                  <w:tcW w:w="1036" w:type="dxa"/>
                  <w:gridSpan w:val="2"/>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通过采取上述措施后，固体废物收集、综合处置率可达100%，不直接排放，不造成二次污染。</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bidi="ar"/>
              </w:rPr>
              <w:t>4</w:t>
            </w:r>
            <w:r>
              <w:rPr>
                <w:rFonts w:hint="default" w:ascii="Times New Roman" w:hAnsi="Times New Roman" w:eastAsia="宋体" w:cs="Times New Roman"/>
                <w:color w:val="auto"/>
                <w:sz w:val="24"/>
                <w:lang w:bidi="ar"/>
              </w:rPr>
              <w:t>、噪声污染防治措施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本项目生产设备位于洁净厂房内，项目的噪声源主要为</w:t>
            </w:r>
            <w:r>
              <w:rPr>
                <w:rFonts w:hint="default" w:ascii="Times New Roman" w:hAnsi="Times New Roman" w:eastAsia="宋体" w:cs="Times New Roman"/>
                <w:color w:val="auto"/>
                <w:sz w:val="24"/>
                <w:lang w:val="en-US" w:eastAsia="zh-CN" w:bidi="ar"/>
              </w:rPr>
              <w:t>剥线机、注塑机、压接机等</w:t>
            </w:r>
            <w:r>
              <w:rPr>
                <w:rFonts w:hint="default" w:ascii="Times New Roman" w:hAnsi="Times New Roman" w:eastAsia="宋体" w:cs="Times New Roman"/>
                <w:color w:val="auto"/>
                <w:sz w:val="24"/>
                <w:lang w:bidi="ar"/>
              </w:rPr>
              <w:t>设备。为降低噪声、改善环境质量，建设单位拟采取隔声、减振等防治措施。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（1）采购设备时应选用低噪声种类。</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（2）合理规划设备布局，高噪声设备应远离厂界及声环境敏感保护目标。</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（3）保证设备处于良好的运转状态，并对主要噪声设备进一步采取减震（减震垫）、墙体隔声等降噪措施，确保噪声达标排放。</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（4）通过厂内绿化削减厂界噪声排放，减轻噪声对周围环境的影响。</w:t>
            </w:r>
          </w:p>
          <w:p>
            <w:pPr>
              <w:spacing w:line="360" w:lineRule="auto"/>
              <w:ind w:firstLine="480" w:firstLineChars="200"/>
              <w:jc w:val="left"/>
              <w:outlineLvl w:val="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bidi="ar"/>
              </w:rPr>
              <w:t>、“两本账”</w:t>
            </w:r>
          </w:p>
          <w:p>
            <w:pPr>
              <w:adjustRightInd w:val="0"/>
              <w:snapToGrid w:val="0"/>
              <w:spacing w:line="360" w:lineRule="auto"/>
              <w:ind w:firstLine="480" w:firstLineChars="200"/>
              <w:jc w:val="left"/>
              <w:outlineLvl w:val="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本工程“两本账”见表5-1</w:t>
            </w:r>
            <w:r>
              <w:rPr>
                <w:rFonts w:hint="default"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w:t>
            </w:r>
          </w:p>
          <w:p>
            <w:pPr>
              <w:pStyle w:val="2"/>
              <w:keepNext w:val="0"/>
              <w:keepLines w:val="0"/>
              <w:pageBreakBefore w:val="0"/>
              <w:widowControl/>
              <w:kinsoku/>
              <w:wordWrap/>
              <w:overflowPunct/>
              <w:topLinePunct w:val="0"/>
              <w:autoSpaceDE/>
              <w:autoSpaceDN/>
              <w:bidi w:val="0"/>
              <w:adjustRightInd w:val="0"/>
              <w:snapToGrid w:val="0"/>
              <w:spacing w:before="0" w:afterAutospacing="0" w:line="360" w:lineRule="auto"/>
              <w:ind w:firstLine="482"/>
              <w:textAlignment w:val="auto"/>
              <w:rPr>
                <w:rFonts w:hint="default" w:ascii="Times New Roman" w:hAnsi="Times New Roman" w:cs="Times New Roman"/>
                <w:color w:val="auto"/>
              </w:rPr>
            </w:pPr>
            <w:bookmarkStart w:id="2" w:name="_Ref477449005"/>
            <w:r>
              <w:rPr>
                <w:rFonts w:hint="default" w:ascii="Times New Roman" w:hAnsi="Times New Roman" w:cs="Times New Roman"/>
                <w:color w:val="auto"/>
              </w:rPr>
              <w:t>表</w:t>
            </w:r>
            <w:bookmarkEnd w:id="2"/>
            <w:r>
              <w:rPr>
                <w:rFonts w:hint="default" w:ascii="Times New Roman" w:hAnsi="Times New Roman" w:cs="Times New Roman"/>
                <w:color w:val="auto"/>
              </w:rPr>
              <w:t>5-1</w:t>
            </w:r>
            <w:r>
              <w:rPr>
                <w:rFonts w:hint="default" w:ascii="Times New Roman" w:hAnsi="Times New Roman" w:cs="Times New Roman"/>
                <w:color w:val="auto"/>
                <w:lang w:val="en-US" w:eastAsia="zh-CN"/>
              </w:rPr>
              <w:t xml:space="preserve">9 </w:t>
            </w:r>
            <w:r>
              <w:rPr>
                <w:rFonts w:hint="default" w:ascii="Times New Roman" w:hAnsi="Times New Roman" w:cs="Times New Roman"/>
                <w:color w:val="auto"/>
              </w:rPr>
              <w:t>本项目“两本账”  （单位：t/a）</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60"/>
              <w:gridCol w:w="1667"/>
              <w:gridCol w:w="1778"/>
              <w:gridCol w:w="183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927" w:type="dxa"/>
                  <w:gridSpan w:val="2"/>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污染物名称</w:t>
                  </w:r>
                </w:p>
              </w:tc>
              <w:tc>
                <w:tcPr>
                  <w:tcW w:w="5369" w:type="dxa"/>
                  <w:gridSpan w:val="3"/>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927" w:type="dxa"/>
                  <w:gridSpan w:val="2"/>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产生量</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削减量</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260"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生活污水</w:t>
                  </w: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水量</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240</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COD</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0.096</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0.030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0"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SS</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0.072</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0.030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NH</w:t>
                  </w:r>
                  <w:r>
                    <w:rPr>
                      <w:rStyle w:val="42"/>
                      <w:rFonts w:hint="default" w:ascii="Times New Roman" w:hAnsi="Times New Roman" w:cs="Times New Roman"/>
                      <w:b w:val="0"/>
                      <w:bCs/>
                      <w:color w:val="auto"/>
                      <w:sz w:val="21"/>
                      <w:szCs w:val="21"/>
                      <w:vertAlign w:val="subscript"/>
                      <w:lang w:bidi="ar"/>
                    </w:rPr>
                    <w:t>3</w:t>
                  </w:r>
                  <w:r>
                    <w:rPr>
                      <w:rStyle w:val="36"/>
                      <w:rFonts w:hint="default" w:ascii="Times New Roman" w:hAnsi="Times New Roman" w:cs="Times New Roman"/>
                      <w:bCs/>
                      <w:color w:val="auto"/>
                      <w:sz w:val="21"/>
                      <w:szCs w:val="21"/>
                      <w:lang w:bidi="ar"/>
                    </w:rPr>
                    <w:t>-N</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0.0096</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0.003</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TP</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0.0000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default" w:ascii="Times New Roman" w:hAnsi="Times New Roman" w:cs="Times New Roman"/>
                      <w:bCs/>
                      <w:color w:val="auto"/>
                      <w:kern w:val="0"/>
                      <w:sz w:val="21"/>
                      <w:szCs w:val="21"/>
                      <w:lang w:val="en-US" w:eastAsia="zh-CN" w:bidi="ar"/>
                    </w:rPr>
                    <w:t>TN</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0.0144</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仿宋" w:cs="Times New Roman"/>
                      <w:i w:val="0"/>
                      <w:color w:val="000000"/>
                      <w:kern w:val="0"/>
                      <w:sz w:val="21"/>
                      <w:szCs w:val="21"/>
                      <w:u w:val="none"/>
                      <w:lang w:val="en-US" w:eastAsia="zh-CN" w:bidi="ar"/>
                    </w:rPr>
                    <w:t>0.0060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260"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无组织废气</w:t>
                  </w: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val="en-US" w:eastAsia="zh-CN" w:bidi="ar"/>
                    </w:rPr>
                    <w:t>VOCs</w:t>
                  </w:r>
                  <w:r>
                    <w:rPr>
                      <w:rFonts w:hint="eastAsia" w:ascii="Times New Roman" w:hAnsi="Times New Roman" w:cs="Times New Roman"/>
                      <w:bCs/>
                      <w:color w:val="auto"/>
                      <w:kern w:val="0"/>
                      <w:sz w:val="21"/>
                      <w:szCs w:val="21"/>
                      <w:lang w:val="en-US" w:eastAsia="zh-CN" w:bidi="ar"/>
                    </w:rPr>
                    <w:t>（含非甲烷总烃）</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eastAsia" w:ascii="Times New Roman" w:hAnsi="Times New Roman" w:eastAsia="宋体" w:cs="Times New Roman"/>
                      <w:i w:val="0"/>
                      <w:color w:val="000000"/>
                      <w:sz w:val="21"/>
                      <w:szCs w:val="21"/>
                      <w:u w:val="none"/>
                      <w:lang w:val="en-US" w:eastAsia="zh-CN"/>
                    </w:rPr>
                    <w:t>0.0003</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0.00024</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eastAsia" w:ascii="Times New Roman" w:hAnsi="Times New Roman" w:eastAsia="宋体" w:cs="Times New Roman"/>
                      <w:i w:val="0"/>
                      <w:color w:val="000000"/>
                      <w:sz w:val="21"/>
                      <w:szCs w:val="21"/>
                      <w:u w:val="none"/>
                      <w:lang w:val="en-US" w:eastAsia="zh-CN"/>
                    </w:rPr>
                    <w:t>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260" w:type="dxa"/>
                  <w:vMerge w:val="continue"/>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val="en-US" w:eastAsia="zh-CN" w:bidi="ar"/>
                    </w:rPr>
                    <w:t>颗粒物（含锡及其化合物）</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eastAsia="宋体" w:cs="Times New Roman"/>
                      <w:i w:val="0"/>
                      <w:color w:val="000000"/>
                      <w:sz w:val="21"/>
                      <w:szCs w:val="21"/>
                      <w:u w:val="none"/>
                      <w:lang w:val="en-US" w:eastAsia="zh-CN"/>
                    </w:rPr>
                    <w:t>0.005</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eastAsia="宋体" w:cs="Times New Roman"/>
                      <w:i w:val="0"/>
                      <w:color w:val="000000"/>
                      <w:sz w:val="21"/>
                      <w:szCs w:val="21"/>
                      <w:u w:val="none"/>
                      <w:lang w:val="en-US" w:eastAsia="zh-CN"/>
                    </w:rPr>
                    <w:t>0.00405</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eastAsia="宋体" w:cs="Times New Roman"/>
                      <w:i w:val="0"/>
                      <w:color w:val="000000"/>
                      <w:sz w:val="21"/>
                      <w:szCs w:val="21"/>
                      <w:u w:val="none"/>
                      <w:lang w:val="en-US" w:eastAsia="zh-CN"/>
                    </w:rPr>
                    <w:t>0.00095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92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生活垃圾</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1.5</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cs="Times New Roman"/>
                      <w:bCs/>
                      <w:color w:val="auto"/>
                      <w:kern w:val="0"/>
                      <w:sz w:val="21"/>
                      <w:szCs w:val="21"/>
                      <w:lang w:val="en-US" w:eastAsia="zh-CN" w:bidi="ar"/>
                    </w:rPr>
                    <w:t>1.5</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92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一般固废</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0.52</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0.52</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92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危险固废</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0.011</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0.011</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r>
          </w:tbl>
          <w:p>
            <w:pPr>
              <w:pStyle w:val="17"/>
              <w:rPr>
                <w:rFonts w:hint="default" w:ascii="Times New Roman" w:hAnsi="Times New Roman" w:cs="Times New Roman"/>
                <w:vertAlign w:val="baseline"/>
              </w:rPr>
            </w:pPr>
          </w:p>
        </w:tc>
      </w:tr>
    </w:tbl>
    <w:p>
      <w:pPr>
        <w:pStyle w:val="17"/>
        <w:rPr>
          <w:rFonts w:hint="default" w:ascii="Times New Roman" w:hAnsi="Times New Roman" w:cs="Times New Roman"/>
        </w:rPr>
        <w:sectPr>
          <w:pgSz w:w="11906" w:h="16838"/>
          <w:pgMar w:top="1440" w:right="1800" w:bottom="1440" w:left="1800" w:header="851" w:footer="992" w:gutter="0"/>
          <w:pgNumType w:fmt="decimal"/>
          <w:cols w:space="425" w:num="1"/>
          <w:docGrid w:type="lines" w:linePitch="312" w:charSpace="0"/>
        </w:sectPr>
      </w:pPr>
    </w:p>
    <w:p>
      <w:pPr>
        <w:spacing w:line="360" w:lineRule="auto"/>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建设项目主要污染物产生及预计排放情况</w:t>
      </w:r>
    </w:p>
    <w:tbl>
      <w:tblPr>
        <w:tblStyle w:val="14"/>
        <w:tblW w:w="863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
      <w:tblGrid>
        <w:gridCol w:w="836"/>
        <w:gridCol w:w="1417"/>
        <w:gridCol w:w="1418"/>
        <w:gridCol w:w="2484"/>
        <w:gridCol w:w="247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tcBorders>
              <w:tl2br w:val="single" w:color="auto" w:sz="8" w:space="0"/>
            </w:tcBorders>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内容</w:t>
            </w:r>
          </w:p>
          <w:p>
            <w:pPr>
              <w:spacing w:before="156" w:beforeLines="50"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类型</w:t>
            </w:r>
          </w:p>
        </w:tc>
        <w:tc>
          <w:tcPr>
            <w:tcW w:w="1417"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排放源</w:t>
            </w:r>
          </w:p>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（编号）</w:t>
            </w:r>
          </w:p>
        </w:tc>
        <w:tc>
          <w:tcPr>
            <w:tcW w:w="1418"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污染物</w:t>
            </w:r>
          </w:p>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名称</w:t>
            </w:r>
          </w:p>
        </w:tc>
        <w:tc>
          <w:tcPr>
            <w:tcW w:w="2484"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处理前产生浓度及</w:t>
            </w:r>
          </w:p>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产生量（单位）</w:t>
            </w:r>
          </w:p>
        </w:tc>
        <w:tc>
          <w:tcPr>
            <w:tcW w:w="2477"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接管浓度及排放量</w:t>
            </w:r>
          </w:p>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（单位）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restart"/>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染</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物</w:t>
            </w:r>
          </w:p>
        </w:tc>
        <w:tc>
          <w:tcPr>
            <w:tcW w:w="1417" w:type="dxa"/>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生活污水</w:t>
            </w:r>
          </w:p>
          <w:p>
            <w:pPr>
              <w:adjustRightInd w:val="0"/>
              <w:snapToGrid w:val="0"/>
              <w:spacing w:line="240" w:lineRule="auto"/>
              <w:jc w:val="center"/>
              <w:rPr>
                <w:rFonts w:hint="default" w:ascii="Times New Roman" w:hAnsi="Times New Roman" w:cs="Times New Roman"/>
                <w:color w:val="auto"/>
                <w:sz w:val="21"/>
                <w:szCs w:val="21"/>
              </w:rPr>
            </w:pPr>
            <w:r>
              <w:rPr>
                <w:rFonts w:hint="eastAsia" w:ascii="Times New Roman" w:hAnsi="Times New Roman" w:eastAsia="宋体" w:cs="Times New Roman"/>
                <w:color w:val="auto"/>
                <w:sz w:val="21"/>
                <w:szCs w:val="21"/>
                <w:lang w:val="en-US" w:eastAsia="zh-CN" w:bidi="ar"/>
              </w:rPr>
              <w:t>24</w:t>
            </w:r>
            <w:r>
              <w:rPr>
                <w:rFonts w:hint="default" w:ascii="Times New Roman" w:hAnsi="Times New Roman" w:eastAsia="宋体" w:cs="Times New Roman"/>
                <w:color w:val="auto"/>
                <w:sz w:val="21"/>
                <w:szCs w:val="21"/>
                <w:lang w:val="en-US" w:eastAsia="zh-CN" w:bidi="ar"/>
              </w:rPr>
              <w:t>0</w:t>
            </w:r>
            <w:r>
              <w:rPr>
                <w:rFonts w:hint="default" w:ascii="Times New Roman" w:hAnsi="Times New Roman" w:eastAsia="宋体" w:cs="Times New Roman"/>
                <w:color w:val="auto"/>
                <w:sz w:val="21"/>
                <w:szCs w:val="21"/>
                <w:lang w:bidi="ar"/>
              </w:rPr>
              <w:t>m</w:t>
            </w:r>
            <w:r>
              <w:rPr>
                <w:rFonts w:hint="default" w:ascii="Times New Roman" w:hAnsi="Times New Roman" w:eastAsia="宋体" w:cs="Times New Roman"/>
                <w:color w:val="auto"/>
                <w:sz w:val="21"/>
                <w:szCs w:val="21"/>
                <w:vertAlign w:val="superscript"/>
                <w:lang w:bidi="ar"/>
              </w:rPr>
              <w:t>3</w:t>
            </w:r>
          </w:p>
        </w:tc>
        <w:tc>
          <w:tcPr>
            <w:tcW w:w="1418"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bidi="ar"/>
              </w:rPr>
              <w:t>COD</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4</w:t>
            </w:r>
            <w:r>
              <w:rPr>
                <w:rFonts w:hint="default" w:ascii="Times New Roman" w:hAnsi="Times New Roman" w:eastAsia="宋体" w:cs="Times New Roman"/>
                <w:color w:val="auto"/>
                <w:sz w:val="21"/>
                <w:szCs w:val="21"/>
                <w:lang w:bidi="ar"/>
              </w:rPr>
              <w:t>00mg/L，0.</w:t>
            </w:r>
            <w:r>
              <w:rPr>
                <w:rFonts w:hint="eastAsia" w:ascii="Times New Roman" w:hAnsi="Times New Roman" w:eastAsia="宋体" w:cs="Times New Roman"/>
                <w:color w:val="auto"/>
                <w:sz w:val="21"/>
                <w:szCs w:val="21"/>
                <w:lang w:val="en-US" w:eastAsia="zh-CN" w:bidi="ar"/>
              </w:rPr>
              <w:t>096</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3</w:t>
            </w:r>
            <w:r>
              <w:rPr>
                <w:rFonts w:hint="default" w:ascii="Times New Roman" w:hAnsi="Times New Roman" w:eastAsia="宋体" w:cs="Times New Roman"/>
                <w:color w:val="auto"/>
                <w:sz w:val="21"/>
                <w:szCs w:val="21"/>
                <w:lang w:bidi="ar"/>
              </w:rPr>
              <w:t>50mg/L，0.</w:t>
            </w:r>
            <w:r>
              <w:rPr>
                <w:rFonts w:hint="eastAsia" w:ascii="Times New Roman" w:hAnsi="Times New Roman" w:eastAsia="宋体" w:cs="Times New Roman"/>
                <w:color w:val="auto"/>
                <w:sz w:val="21"/>
                <w:szCs w:val="21"/>
                <w:lang w:val="en-US" w:eastAsia="zh-CN" w:bidi="ar"/>
              </w:rPr>
              <w:t>084</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jc w:val="center"/>
              <w:rPr>
                <w:rFonts w:hint="default" w:ascii="Times New Roman" w:hAnsi="Times New Roman" w:cs="Times New Roman"/>
                <w:color w:val="auto"/>
                <w:sz w:val="21"/>
                <w:szCs w:val="21"/>
              </w:rPr>
            </w:pPr>
          </w:p>
        </w:tc>
        <w:tc>
          <w:tcPr>
            <w:tcW w:w="1418" w:type="dxa"/>
            <w:vAlign w:val="center"/>
          </w:tcPr>
          <w:p>
            <w:pPr>
              <w:pStyle w:val="19"/>
              <w:widowControl/>
              <w:adjustRightIn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3</w:t>
            </w:r>
            <w:r>
              <w:rPr>
                <w:rFonts w:hint="default" w:ascii="Times New Roman" w:hAnsi="Times New Roman" w:eastAsia="宋体" w:cs="Times New Roman"/>
                <w:color w:val="auto"/>
                <w:sz w:val="21"/>
                <w:szCs w:val="21"/>
                <w:lang w:bidi="ar"/>
              </w:rPr>
              <w:t>00mg/L，0.</w:t>
            </w:r>
            <w:r>
              <w:rPr>
                <w:rFonts w:hint="eastAsia" w:ascii="Times New Roman" w:hAnsi="Times New Roman" w:eastAsia="宋体" w:cs="Times New Roman"/>
                <w:color w:val="auto"/>
                <w:sz w:val="21"/>
                <w:szCs w:val="21"/>
                <w:lang w:val="en-US" w:eastAsia="zh-CN" w:bidi="ar"/>
              </w:rPr>
              <w:t>072</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2</w:t>
            </w:r>
            <w:r>
              <w:rPr>
                <w:rFonts w:hint="default" w:ascii="Times New Roman" w:hAnsi="Times New Roman" w:eastAsia="宋体" w:cs="Times New Roman"/>
                <w:color w:val="auto"/>
                <w:sz w:val="21"/>
                <w:szCs w:val="21"/>
                <w:lang w:bidi="ar"/>
              </w:rPr>
              <w:t>50mg/L，0.</w:t>
            </w:r>
            <w:r>
              <w:rPr>
                <w:rFonts w:hint="eastAsia" w:ascii="Times New Roman" w:hAnsi="Times New Roman" w:eastAsia="宋体" w:cs="Times New Roman"/>
                <w:color w:val="auto"/>
                <w:sz w:val="21"/>
                <w:szCs w:val="21"/>
                <w:lang w:val="en-US" w:eastAsia="zh-CN" w:bidi="ar"/>
              </w:rPr>
              <w:t>06</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jc w:val="center"/>
              <w:rPr>
                <w:rFonts w:hint="default" w:ascii="Times New Roman" w:hAnsi="Times New Roman" w:cs="Times New Roman"/>
                <w:color w:val="auto"/>
                <w:sz w:val="21"/>
                <w:szCs w:val="21"/>
              </w:rPr>
            </w:pPr>
          </w:p>
        </w:tc>
        <w:tc>
          <w:tcPr>
            <w:tcW w:w="1418" w:type="dxa"/>
            <w:vAlign w:val="center"/>
          </w:tcPr>
          <w:p>
            <w:pPr>
              <w:pStyle w:val="19"/>
              <w:widowControl/>
              <w:adjustRightIn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bidi="ar"/>
              </w:rPr>
              <w:t>4</w:t>
            </w:r>
            <w:r>
              <w:rPr>
                <w:rFonts w:hint="default" w:ascii="Times New Roman" w:hAnsi="Times New Roman" w:eastAsia="宋体" w:cs="Times New Roman"/>
                <w:color w:val="auto"/>
                <w:sz w:val="21"/>
                <w:szCs w:val="21"/>
                <w:lang w:val="en-US" w:eastAsia="zh-CN" w:bidi="ar"/>
              </w:rPr>
              <w:t>0</w:t>
            </w:r>
            <w:r>
              <w:rPr>
                <w:rFonts w:hint="default" w:ascii="Times New Roman" w:hAnsi="Times New Roman" w:eastAsia="宋体" w:cs="Times New Roman"/>
                <w:color w:val="auto"/>
                <w:sz w:val="21"/>
                <w:szCs w:val="21"/>
                <w:lang w:bidi="ar"/>
              </w:rPr>
              <w:t>mg/L，0.0</w:t>
            </w:r>
            <w:r>
              <w:rPr>
                <w:rFonts w:hint="eastAsia" w:ascii="Times New Roman" w:hAnsi="Times New Roman" w:eastAsia="宋体" w:cs="Times New Roman"/>
                <w:color w:val="auto"/>
                <w:sz w:val="21"/>
                <w:szCs w:val="21"/>
                <w:lang w:val="en-US" w:eastAsia="zh-CN" w:bidi="ar"/>
              </w:rPr>
              <w:t>096</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bidi="ar"/>
              </w:rPr>
              <w:t>3</w:t>
            </w:r>
            <w:r>
              <w:rPr>
                <w:rFonts w:hint="default" w:ascii="Times New Roman" w:hAnsi="Times New Roman" w:eastAsia="宋体" w:cs="Times New Roman"/>
                <w:color w:val="auto"/>
                <w:sz w:val="21"/>
                <w:szCs w:val="21"/>
                <w:lang w:val="en-US" w:eastAsia="zh-CN" w:bidi="ar"/>
              </w:rPr>
              <w:t>5</w:t>
            </w:r>
            <w:r>
              <w:rPr>
                <w:rFonts w:hint="default" w:ascii="Times New Roman" w:hAnsi="Times New Roman" w:eastAsia="宋体" w:cs="Times New Roman"/>
                <w:color w:val="auto"/>
                <w:sz w:val="21"/>
                <w:szCs w:val="21"/>
                <w:lang w:bidi="ar"/>
              </w:rPr>
              <w:t>mg/L，0.0</w:t>
            </w:r>
            <w:r>
              <w:rPr>
                <w:rFonts w:hint="eastAsia" w:ascii="Times New Roman" w:hAnsi="Times New Roman" w:eastAsia="宋体" w:cs="Times New Roman"/>
                <w:color w:val="auto"/>
                <w:sz w:val="21"/>
                <w:szCs w:val="21"/>
                <w:lang w:val="en-US" w:eastAsia="zh-CN" w:bidi="ar"/>
              </w:rPr>
              <w:t>084</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jc w:val="center"/>
              <w:rPr>
                <w:rFonts w:hint="default" w:ascii="Times New Roman" w:hAnsi="Times New Roman" w:cs="Times New Roman"/>
                <w:color w:val="auto"/>
                <w:sz w:val="21"/>
                <w:szCs w:val="21"/>
              </w:rPr>
            </w:pPr>
          </w:p>
        </w:tc>
        <w:tc>
          <w:tcPr>
            <w:tcW w:w="1418" w:type="dxa"/>
            <w:vAlign w:val="center"/>
          </w:tcPr>
          <w:p>
            <w:pPr>
              <w:pStyle w:val="19"/>
              <w:widowControl/>
              <w:adjustRightIn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TP</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5</w:t>
            </w:r>
            <w:r>
              <w:rPr>
                <w:rFonts w:hint="default" w:ascii="Times New Roman" w:hAnsi="Times New Roman" w:eastAsia="宋体" w:cs="Times New Roman"/>
                <w:color w:val="auto"/>
                <w:sz w:val="21"/>
                <w:szCs w:val="21"/>
                <w:lang w:bidi="ar"/>
              </w:rPr>
              <w:t>mg/L，0.00</w:t>
            </w:r>
            <w:r>
              <w:rPr>
                <w:rFonts w:hint="eastAsia" w:ascii="Times New Roman" w:hAnsi="Times New Roman" w:eastAsia="宋体" w:cs="Times New Roman"/>
                <w:color w:val="auto"/>
                <w:sz w:val="21"/>
                <w:szCs w:val="21"/>
                <w:lang w:val="en-US" w:eastAsia="zh-CN" w:bidi="ar"/>
              </w:rPr>
              <w:t>12</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5</w:t>
            </w:r>
            <w:r>
              <w:rPr>
                <w:rFonts w:hint="default" w:ascii="Times New Roman" w:hAnsi="Times New Roman" w:eastAsia="宋体" w:cs="Times New Roman"/>
                <w:color w:val="auto"/>
                <w:sz w:val="21"/>
                <w:szCs w:val="21"/>
                <w:lang w:bidi="ar"/>
              </w:rPr>
              <w:t>mg/L，0.00</w:t>
            </w:r>
            <w:r>
              <w:rPr>
                <w:rFonts w:hint="eastAsia" w:ascii="Times New Roman" w:hAnsi="Times New Roman" w:eastAsia="宋体" w:cs="Times New Roman"/>
                <w:color w:val="auto"/>
                <w:sz w:val="21"/>
                <w:szCs w:val="21"/>
                <w:lang w:val="en-US" w:eastAsia="zh-CN" w:bidi="ar"/>
              </w:rPr>
              <w:t>12</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jc w:val="center"/>
              <w:rPr>
                <w:rFonts w:hint="default" w:ascii="Times New Roman" w:hAnsi="Times New Roman" w:cs="Times New Roman"/>
                <w:color w:val="auto"/>
                <w:sz w:val="21"/>
                <w:szCs w:val="21"/>
              </w:rPr>
            </w:pPr>
          </w:p>
        </w:tc>
        <w:tc>
          <w:tcPr>
            <w:tcW w:w="1418" w:type="dxa"/>
            <w:vAlign w:val="center"/>
          </w:tcPr>
          <w:p>
            <w:pPr>
              <w:pStyle w:val="19"/>
              <w:widowControl/>
              <w:adjustRightIn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TN</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60</w:t>
            </w:r>
            <w:r>
              <w:rPr>
                <w:rFonts w:hint="default" w:ascii="Times New Roman" w:hAnsi="Times New Roman" w:eastAsia="宋体" w:cs="Times New Roman"/>
                <w:color w:val="auto"/>
                <w:sz w:val="21"/>
                <w:szCs w:val="21"/>
                <w:lang w:bidi="ar"/>
              </w:rPr>
              <w:t>mg/L，0.0</w:t>
            </w:r>
            <w:r>
              <w:rPr>
                <w:rFonts w:hint="eastAsia" w:ascii="Times New Roman" w:hAnsi="Times New Roman" w:eastAsia="宋体" w:cs="Times New Roman"/>
                <w:color w:val="auto"/>
                <w:sz w:val="21"/>
                <w:szCs w:val="21"/>
                <w:lang w:val="en-US" w:eastAsia="zh-CN" w:bidi="ar"/>
              </w:rPr>
              <w:t>144</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50</w:t>
            </w:r>
            <w:r>
              <w:rPr>
                <w:rFonts w:hint="default" w:ascii="Times New Roman" w:hAnsi="Times New Roman" w:eastAsia="宋体" w:cs="Times New Roman"/>
                <w:color w:val="auto"/>
                <w:sz w:val="21"/>
                <w:szCs w:val="21"/>
                <w:lang w:bidi="ar"/>
              </w:rPr>
              <w:t>mg/L，0.0</w:t>
            </w:r>
            <w:r>
              <w:rPr>
                <w:rFonts w:hint="eastAsia" w:ascii="Times New Roman" w:hAnsi="Times New Roman" w:eastAsia="宋体" w:cs="Times New Roman"/>
                <w:color w:val="auto"/>
                <w:sz w:val="21"/>
                <w:szCs w:val="21"/>
                <w:lang w:val="en-US" w:eastAsia="zh-CN" w:bidi="ar"/>
              </w:rPr>
              <w:t>12</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restart"/>
            <w:tcBorders>
              <w:top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废气</w:t>
            </w:r>
          </w:p>
        </w:tc>
        <w:tc>
          <w:tcPr>
            <w:tcW w:w="1417" w:type="dxa"/>
            <w:vMerge w:val="restart"/>
            <w:tcBorders>
              <w:top w:val="single" w:color="auto" w:sz="4" w:space="0"/>
            </w:tcBorders>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生产车间（无组织）</w:t>
            </w:r>
          </w:p>
        </w:tc>
        <w:tc>
          <w:tcPr>
            <w:tcW w:w="14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VOCs</w:t>
            </w:r>
          </w:p>
        </w:tc>
        <w:tc>
          <w:tcPr>
            <w:tcW w:w="24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eastAsia" w:ascii="Times New Roman" w:hAnsi="Times New Roman" w:eastAsia="宋体" w:cs="Times New Roman"/>
                <w:i w:val="0"/>
                <w:color w:val="000000"/>
                <w:sz w:val="21"/>
                <w:szCs w:val="21"/>
                <w:u w:val="none"/>
                <w:lang w:val="en-US" w:eastAsia="zh-CN"/>
              </w:rPr>
              <w:t>0.0003</w:t>
            </w:r>
            <w:r>
              <w:rPr>
                <w:rFonts w:hint="default" w:ascii="Times New Roman" w:hAnsi="Times New Roman" w:eastAsia="宋体" w:cs="Times New Roman"/>
                <w:color w:val="auto"/>
                <w:sz w:val="21"/>
                <w:szCs w:val="21"/>
                <w:lang w:bidi="ar"/>
              </w:rPr>
              <w:t>t/a</w:t>
            </w:r>
          </w:p>
        </w:tc>
        <w:tc>
          <w:tcPr>
            <w:tcW w:w="247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eastAsia" w:ascii="Times New Roman" w:hAnsi="Times New Roman" w:eastAsia="宋体" w:cs="Times New Roman"/>
                <w:i w:val="0"/>
                <w:color w:val="000000"/>
                <w:sz w:val="21"/>
                <w:szCs w:val="21"/>
                <w:u w:val="none"/>
                <w:lang w:val="en-US" w:eastAsia="zh-CN"/>
              </w:rPr>
              <w:t>0.00006</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8"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lang w:bidi="ar"/>
              </w:rPr>
            </w:pPr>
            <w:r>
              <w:rPr>
                <w:rFonts w:hint="eastAsia" w:ascii="Times New Roman" w:hAnsi="Times New Roman" w:eastAsia="宋体" w:cs="Times New Roman"/>
                <w:i w:val="0"/>
                <w:color w:val="000000"/>
                <w:kern w:val="0"/>
                <w:sz w:val="22"/>
                <w:szCs w:val="22"/>
                <w:u w:val="none"/>
                <w:lang w:val="en-US" w:eastAsia="zh-CN" w:bidi="ar"/>
              </w:rPr>
              <w:t>非甲烷总烃</w:t>
            </w:r>
          </w:p>
        </w:tc>
        <w:tc>
          <w:tcPr>
            <w:tcW w:w="2484"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lang w:bidi="ar"/>
              </w:rPr>
            </w:pPr>
            <w:r>
              <w:rPr>
                <w:rFonts w:hint="eastAsia" w:ascii="Times New Roman" w:hAnsi="Times New Roman" w:eastAsia="宋体" w:cs="Times New Roman"/>
                <w:i w:val="0"/>
                <w:color w:val="000000"/>
                <w:sz w:val="21"/>
                <w:szCs w:val="21"/>
                <w:u w:val="none"/>
                <w:lang w:val="en-US" w:eastAsia="zh-CN"/>
              </w:rPr>
              <w:t>0.005</w:t>
            </w:r>
            <w:r>
              <w:rPr>
                <w:rFonts w:hint="default" w:ascii="Times New Roman" w:hAnsi="Times New Roman" w:eastAsia="宋体" w:cs="Times New Roman"/>
                <w:color w:val="auto"/>
                <w:sz w:val="21"/>
                <w:szCs w:val="21"/>
                <w:lang w:bidi="ar"/>
              </w:rPr>
              <w:t>t/a</w:t>
            </w:r>
          </w:p>
        </w:tc>
        <w:tc>
          <w:tcPr>
            <w:tcW w:w="2477"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lang w:bidi="ar"/>
              </w:rPr>
            </w:pPr>
            <w:r>
              <w:rPr>
                <w:rFonts w:hint="eastAsia" w:ascii="Times New Roman" w:hAnsi="Times New Roman" w:eastAsia="宋体" w:cs="Times New Roman"/>
                <w:i w:val="0"/>
                <w:color w:val="000000"/>
                <w:sz w:val="21"/>
                <w:szCs w:val="21"/>
                <w:u w:val="none"/>
                <w:lang w:val="en-US" w:eastAsia="zh-CN"/>
              </w:rPr>
              <w:t>0.00095</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restart"/>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废物</w:t>
            </w:r>
          </w:p>
        </w:tc>
        <w:tc>
          <w:tcPr>
            <w:tcW w:w="2835"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生活垃圾</w:t>
            </w:r>
          </w:p>
        </w:tc>
        <w:tc>
          <w:tcPr>
            <w:tcW w:w="24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eastAsia" w:ascii="Times New Roman" w:hAnsi="Times New Roman" w:eastAsia="宋体" w:cs="Times New Roman"/>
                <w:i w:val="0"/>
                <w:color w:val="000000"/>
                <w:kern w:val="0"/>
                <w:sz w:val="21"/>
                <w:szCs w:val="21"/>
                <w:u w:val="none"/>
                <w:lang w:val="en-US" w:eastAsia="zh-CN" w:bidi="ar"/>
              </w:rPr>
              <w:t>1.5</w:t>
            </w:r>
            <w:r>
              <w:rPr>
                <w:rFonts w:hint="default" w:ascii="Times New Roman" w:hAnsi="Times New Roman" w:eastAsia="宋体" w:cs="Times New Roman"/>
                <w:color w:val="auto"/>
                <w:sz w:val="21"/>
                <w:szCs w:val="21"/>
                <w:lang w:bidi="ar"/>
              </w:rPr>
              <w:t>t/a</w:t>
            </w:r>
          </w:p>
        </w:tc>
        <w:tc>
          <w:tcPr>
            <w:tcW w:w="2477" w:type="dxa"/>
            <w:vAlign w:val="center"/>
          </w:tcPr>
          <w:p>
            <w:pPr>
              <w:pStyle w:val="23"/>
              <w:jc w:val="center"/>
              <w:rPr>
                <w:rFonts w:hint="default" w:ascii="Times New Roman" w:hAnsi="Times New Roman" w:cs="Times New Roman"/>
                <w:color w:val="auto"/>
              </w:rPr>
            </w:pPr>
            <w:r>
              <w:rPr>
                <w:rFonts w:hint="default" w:ascii="Times New Roman" w:hAnsi="Times New Roman" w:cs="Times New Roman"/>
                <w:color w:val="auto"/>
              </w:rPr>
              <w:t>环卫部门清运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2835" w:type="dxa"/>
            <w:gridSpan w:val="2"/>
            <w:vAlign w:val="center"/>
          </w:tcPr>
          <w:p>
            <w:pPr>
              <w:pStyle w:val="23"/>
              <w:widowControl/>
              <w:rPr>
                <w:rFonts w:hint="default" w:ascii="Times New Roman" w:hAnsi="Times New Roman" w:cs="Times New Roman"/>
                <w:color w:val="auto"/>
                <w:sz w:val="21"/>
                <w:szCs w:val="21"/>
              </w:rPr>
            </w:pPr>
            <w:r>
              <w:rPr>
                <w:rFonts w:hint="default" w:ascii="Times New Roman" w:hAnsi="Times New Roman" w:eastAsia="宋体" w:cs="Times New Roman"/>
                <w:color w:val="auto"/>
                <w:lang w:val="en-US" w:eastAsia="zh-CN"/>
              </w:rPr>
              <w:t>边角料和不合格产品</w:t>
            </w:r>
          </w:p>
        </w:tc>
        <w:tc>
          <w:tcPr>
            <w:tcW w:w="2484" w:type="dxa"/>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0.5</w:t>
            </w:r>
            <w:r>
              <w:rPr>
                <w:rFonts w:hint="default" w:ascii="Times New Roman" w:hAnsi="Times New Roman" w:eastAsia="宋体" w:cs="Times New Roman"/>
                <w:color w:val="auto"/>
                <w:sz w:val="21"/>
                <w:szCs w:val="21"/>
                <w:lang w:bidi="ar"/>
              </w:rPr>
              <w:t>t/a</w:t>
            </w:r>
          </w:p>
        </w:tc>
        <w:tc>
          <w:tcPr>
            <w:tcW w:w="2477" w:type="dxa"/>
            <w:vMerge w:val="restart"/>
            <w:vAlign w:val="center"/>
          </w:tcPr>
          <w:p>
            <w:pPr>
              <w:pStyle w:val="23"/>
              <w:jc w:val="center"/>
              <w:rPr>
                <w:rFonts w:hint="default" w:ascii="Times New Roman" w:hAnsi="Times New Roman" w:cs="Times New Roman"/>
                <w:color w:val="auto"/>
              </w:rPr>
            </w:pPr>
            <w:r>
              <w:rPr>
                <w:rFonts w:hint="default" w:ascii="Times New Roman" w:hAnsi="Times New Roman" w:cs="Times New Roman"/>
                <w:color w:val="auto"/>
              </w:rPr>
              <w:t>外售综合利用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2835" w:type="dxa"/>
            <w:gridSpan w:val="2"/>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废包装材料</w:t>
            </w:r>
          </w:p>
        </w:tc>
        <w:tc>
          <w:tcPr>
            <w:tcW w:w="2484" w:type="dxa"/>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0.</w:t>
            </w:r>
            <w:r>
              <w:rPr>
                <w:rFonts w:hint="eastAsia" w:cs="Times New Roman"/>
                <w:color w:val="auto"/>
                <w:lang w:val="en-US" w:eastAsia="zh-CN"/>
              </w:rPr>
              <w:t>02</w:t>
            </w:r>
            <w:r>
              <w:rPr>
                <w:rFonts w:hint="default" w:ascii="Times New Roman" w:hAnsi="Times New Roman" w:eastAsia="宋体" w:cs="Times New Roman"/>
                <w:color w:val="auto"/>
                <w:sz w:val="21"/>
                <w:szCs w:val="21"/>
                <w:lang w:bidi="ar"/>
              </w:rPr>
              <w:t>t/a</w:t>
            </w:r>
          </w:p>
        </w:tc>
        <w:tc>
          <w:tcPr>
            <w:tcW w:w="2477" w:type="dxa"/>
            <w:vMerge w:val="continue"/>
            <w:vAlign w:val="center"/>
          </w:tcPr>
          <w:p>
            <w:pPr>
              <w:pStyle w:val="23"/>
              <w:jc w:val="center"/>
              <w:rPr>
                <w:rFonts w:hint="default" w:ascii="Times New Roman" w:hAnsi="Times New Roman" w:cs="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2835" w:type="dxa"/>
            <w:gridSpan w:val="2"/>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废活性炭</w:t>
            </w:r>
          </w:p>
        </w:tc>
        <w:tc>
          <w:tcPr>
            <w:tcW w:w="2484" w:type="dxa"/>
            <w:vAlign w:val="center"/>
          </w:tcPr>
          <w:p>
            <w:pPr>
              <w:pStyle w:val="23"/>
              <w:widowControl/>
              <w:rPr>
                <w:rFonts w:hint="default" w:ascii="Times New Roman" w:hAnsi="Times New Roman" w:cs="Times New Roman"/>
                <w:color w:val="auto"/>
                <w:sz w:val="21"/>
                <w:szCs w:val="21"/>
              </w:rPr>
            </w:pPr>
            <w:r>
              <w:rPr>
                <w:rFonts w:hint="eastAsia" w:cs="Times New Roman"/>
                <w:color w:val="auto"/>
                <w:lang w:val="en-US" w:eastAsia="zh-CN"/>
              </w:rPr>
              <w:t>0.001</w:t>
            </w:r>
            <w:r>
              <w:rPr>
                <w:rFonts w:hint="default" w:ascii="Times New Roman" w:hAnsi="Times New Roman" w:eastAsia="宋体" w:cs="Times New Roman"/>
                <w:color w:val="auto"/>
                <w:sz w:val="21"/>
                <w:szCs w:val="21"/>
                <w:lang w:bidi="ar"/>
              </w:rPr>
              <w:t>t/a</w:t>
            </w:r>
          </w:p>
        </w:tc>
        <w:tc>
          <w:tcPr>
            <w:tcW w:w="2477" w:type="dxa"/>
            <w:vMerge w:val="restart"/>
            <w:vAlign w:val="center"/>
          </w:tcPr>
          <w:p>
            <w:pPr>
              <w:pStyle w:val="23"/>
              <w:jc w:val="center"/>
              <w:rPr>
                <w:rFonts w:hint="default" w:ascii="Times New Roman" w:hAnsi="Times New Roman" w:cs="Times New Roman"/>
                <w:color w:val="auto"/>
              </w:rPr>
            </w:pPr>
            <w:r>
              <w:rPr>
                <w:rFonts w:hint="default" w:ascii="Times New Roman" w:hAnsi="Times New Roman" w:cs="Times New Roman"/>
                <w:color w:val="auto"/>
              </w:rPr>
              <w:t>委托有资质单位处置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2835" w:type="dxa"/>
            <w:gridSpan w:val="2"/>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废滤网</w:t>
            </w:r>
          </w:p>
        </w:tc>
        <w:tc>
          <w:tcPr>
            <w:tcW w:w="2484" w:type="dxa"/>
            <w:vAlign w:val="center"/>
          </w:tcPr>
          <w:p>
            <w:pPr>
              <w:pStyle w:val="23"/>
              <w:widowControl/>
              <w:rPr>
                <w:rFonts w:hint="default" w:ascii="Times New Roman" w:hAnsi="Times New Roman" w:cs="Times New Roman"/>
                <w:color w:val="auto"/>
                <w:sz w:val="21"/>
                <w:szCs w:val="21"/>
              </w:rPr>
            </w:pPr>
            <w:r>
              <w:rPr>
                <w:rFonts w:hint="eastAsia" w:cs="Times New Roman"/>
                <w:color w:val="auto"/>
                <w:lang w:val="en-US" w:eastAsia="zh-CN"/>
              </w:rPr>
              <w:t>0.01</w:t>
            </w:r>
            <w:r>
              <w:rPr>
                <w:rFonts w:hint="default" w:ascii="Times New Roman" w:hAnsi="Times New Roman" w:eastAsia="宋体" w:cs="Times New Roman"/>
                <w:color w:val="auto"/>
                <w:sz w:val="21"/>
                <w:szCs w:val="21"/>
                <w:lang w:bidi="ar"/>
              </w:rPr>
              <w:t>t/a</w:t>
            </w:r>
          </w:p>
        </w:tc>
        <w:tc>
          <w:tcPr>
            <w:tcW w:w="2477"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w:t>
            </w:r>
          </w:p>
          <w:p>
            <w:pPr>
              <w:spacing w:line="240" w:lineRule="auto"/>
              <w:ind w:firstLine="0" w:firstLineChars="0"/>
              <w:jc w:val="center"/>
              <w:rPr>
                <w:rFonts w:hint="default" w:ascii="Times New Roman" w:hAnsi="Times New Roman" w:cs="Times New Roman"/>
                <w:color w:val="auto"/>
                <w:sz w:val="21"/>
                <w:szCs w:val="21"/>
              </w:rPr>
            </w:pP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声</w:t>
            </w:r>
          </w:p>
        </w:tc>
        <w:tc>
          <w:tcPr>
            <w:tcW w:w="7796" w:type="dxa"/>
            <w:gridSpan w:val="4"/>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本项目在生产过程中主要噪声源为剥线机、注塑机、压接机等设备</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通过噪声源经墙体隔声和距离衰减后，项目各厂界昼间噪声能达到《工业企业厂界环境噪声排放标准》（GB12348-2008）中</w:t>
            </w: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lang w:val="en-US" w:eastAsia="zh-CN"/>
              </w:rPr>
              <w:t>类标准。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它</w:t>
            </w:r>
          </w:p>
        </w:tc>
        <w:tc>
          <w:tcPr>
            <w:tcW w:w="7796" w:type="dxa"/>
            <w:gridSpan w:val="4"/>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632" w:type="dxa"/>
            <w:gridSpan w:val="5"/>
            <w:vAlign w:val="center"/>
          </w:tcPr>
          <w:p>
            <w:pPr>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主要生态影响：</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bl>
    <w:p>
      <w:pPr>
        <w:pStyle w:val="17"/>
        <w:rPr>
          <w:rFonts w:hint="default" w:ascii="Times New Roman" w:hAnsi="Times New Roman" w:cs="Times New Roman"/>
        </w:rPr>
      </w:pPr>
    </w:p>
    <w:p>
      <w:pPr>
        <w:pStyle w:val="17"/>
        <w:rPr>
          <w:rFonts w:hint="default" w:ascii="Times New Roman" w:hAnsi="Times New Roman" w:cs="Times New Roman"/>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hint="default" w:ascii="Times New Roman" w:hAnsi="Times New Roman" w:eastAsia="宋体" w:cs="Times New Roman"/>
          <w:b/>
          <w:color w:val="auto"/>
          <w:sz w:val="30"/>
          <w:szCs w:val="30"/>
          <w:lang w:bidi="ar"/>
        </w:rPr>
      </w:pPr>
      <w:r>
        <w:rPr>
          <w:rFonts w:hint="default" w:ascii="Times New Roman" w:hAnsi="Times New Roman" w:eastAsia="宋体" w:cs="Times New Roman"/>
          <w:b/>
          <w:color w:val="auto"/>
          <w:sz w:val="30"/>
          <w:szCs w:val="30"/>
          <w:lang w:bidi="ar"/>
        </w:rPr>
        <w:t>环境影响分析</w:t>
      </w:r>
    </w:p>
    <w:tbl>
      <w:tblPr>
        <w:tblStyle w:val="14"/>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19" w:hRule="atLeast"/>
          <w:jc w:val="center"/>
        </w:trPr>
        <w:tc>
          <w:tcPr>
            <w:tcW w:w="8528" w:type="dxa"/>
            <w:vAlign w:val="center"/>
          </w:tcPr>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施工期环境影响分析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本项目租用常州市滨湖生态城建设有限公司常州西太湖科技产业园兰香路8号5号标准厂房5楼厂房1000平方米，对厂房进行装修改造，同时购置安装设备，所以施工期环境影响分析从简。</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营运期环境影响分析</w:t>
            </w:r>
          </w:p>
          <w:p>
            <w:pPr>
              <w:spacing w:line="48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1、地表水环境影响分析</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（1）评价等级的判定</w:t>
            </w:r>
          </w:p>
          <w:p>
            <w:pPr>
              <w:spacing w:line="480" w:lineRule="exact"/>
              <w:ind w:firstLine="480" w:firstLineChars="200"/>
              <w:rPr>
                <w:rFonts w:cs="Times New Roman"/>
                <w:sz w:val="24"/>
                <w:szCs w:val="24"/>
              </w:rPr>
            </w:pPr>
            <w:r>
              <w:rPr>
                <w:rFonts w:hint="eastAsia" w:ascii="Times New Roman" w:hAnsi="Times New Roman" w:cs="Times New Roman"/>
                <w:sz w:val="24"/>
                <w:szCs w:val="24"/>
              </w:rPr>
              <w:t>本项目为水污染影响型项目，</w:t>
            </w:r>
            <w:r>
              <w:rPr>
                <w:rFonts w:ascii="Times New Roman" w:hAnsi="Times New Roman" w:cs="Times New Roman"/>
                <w:sz w:val="24"/>
                <w:szCs w:val="24"/>
              </w:rPr>
              <w:t>本项目</w:t>
            </w:r>
            <w:r>
              <w:rPr>
                <w:rFonts w:hint="eastAsia" w:ascii="Times New Roman" w:hAnsi="Times New Roman" w:cs="Times New Roman"/>
                <w:sz w:val="24"/>
                <w:szCs w:val="24"/>
                <w:lang w:val="en-US" w:eastAsia="zh-CN"/>
              </w:rPr>
              <w:t>无</w:t>
            </w:r>
            <w:r>
              <w:rPr>
                <w:rFonts w:ascii="Times New Roman" w:hAnsi="Times New Roman" w:cs="Times New Roman"/>
                <w:sz w:val="24"/>
                <w:szCs w:val="24"/>
              </w:rPr>
              <w:t>生产废水</w:t>
            </w:r>
            <w:r>
              <w:rPr>
                <w:rFonts w:hint="eastAsia" w:ascii="Times New Roman" w:hAnsi="Times New Roman" w:cs="Times New Roman"/>
                <w:sz w:val="24"/>
                <w:szCs w:val="24"/>
                <w:lang w:val="en-US" w:eastAsia="zh-CN"/>
              </w:rPr>
              <w:t>产生计排放</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生活污水化粪池处理后进入市政管网，最终进武进城区污水处理厂集中处理，尾水排入采菱港。根据</w:t>
            </w:r>
            <w:r>
              <w:rPr>
                <w:rFonts w:cs="Times New Roman"/>
                <w:sz w:val="24"/>
                <w:szCs w:val="24"/>
              </w:rPr>
              <w:t xml:space="preserve">《环境影响评价技术导则  </w:t>
            </w:r>
            <w:r>
              <w:rPr>
                <w:rFonts w:hint="eastAsia" w:cs="Times New Roman"/>
                <w:sz w:val="24"/>
                <w:szCs w:val="24"/>
              </w:rPr>
              <w:t>地表水</w:t>
            </w:r>
            <w:r>
              <w:rPr>
                <w:rFonts w:cs="Times New Roman"/>
                <w:sz w:val="24"/>
                <w:szCs w:val="24"/>
              </w:rPr>
              <w:t>环境》（HJ2.</w:t>
            </w:r>
            <w:r>
              <w:rPr>
                <w:rFonts w:hint="eastAsia" w:cs="Times New Roman"/>
                <w:sz w:val="24"/>
                <w:szCs w:val="24"/>
              </w:rPr>
              <w:t>3</w:t>
            </w:r>
            <w:r>
              <w:rPr>
                <w:rFonts w:cs="Times New Roman"/>
                <w:sz w:val="24"/>
                <w:szCs w:val="24"/>
              </w:rPr>
              <w:t>-2018）</w:t>
            </w:r>
            <w:r>
              <w:rPr>
                <w:rFonts w:hint="eastAsia" w:cs="Times New Roman"/>
                <w:sz w:val="24"/>
                <w:szCs w:val="24"/>
              </w:rPr>
              <w:t>表1水污染影响型建设项目评价等级判定，本项目评价等级为三级B，根据</w:t>
            </w:r>
            <w:r>
              <w:rPr>
                <w:rFonts w:cs="Times New Roman"/>
                <w:sz w:val="24"/>
                <w:szCs w:val="24"/>
              </w:rPr>
              <w:t xml:space="preserve">《环境影响评价技术导则  </w:t>
            </w:r>
            <w:r>
              <w:rPr>
                <w:rFonts w:hint="eastAsia" w:cs="Times New Roman"/>
                <w:sz w:val="24"/>
                <w:szCs w:val="24"/>
              </w:rPr>
              <w:t>地表水</w:t>
            </w:r>
            <w:r>
              <w:rPr>
                <w:rFonts w:cs="Times New Roman"/>
                <w:sz w:val="24"/>
                <w:szCs w:val="24"/>
              </w:rPr>
              <w:t>环境》（HJ2.</w:t>
            </w:r>
            <w:r>
              <w:rPr>
                <w:rFonts w:hint="eastAsia" w:cs="Times New Roman"/>
                <w:sz w:val="24"/>
                <w:szCs w:val="24"/>
              </w:rPr>
              <w:t>3</w:t>
            </w:r>
            <w:r>
              <w:rPr>
                <w:rFonts w:cs="Times New Roman"/>
                <w:sz w:val="24"/>
                <w:szCs w:val="24"/>
              </w:rPr>
              <w:t>-2018）</w:t>
            </w:r>
            <w:r>
              <w:rPr>
                <w:rFonts w:hint="eastAsia" w:cs="Times New Roman"/>
                <w:sz w:val="24"/>
                <w:szCs w:val="24"/>
              </w:rPr>
              <w:t>，</w:t>
            </w:r>
            <w:r>
              <w:rPr>
                <w:rFonts w:hint="eastAsia" w:ascii="Times New Roman" w:hAnsi="Times New Roman" w:cs="Times New Roman"/>
                <w:sz w:val="24"/>
                <w:szCs w:val="24"/>
              </w:rPr>
              <w:t>水污染影响型</w:t>
            </w:r>
            <w:r>
              <w:rPr>
                <w:rFonts w:hint="eastAsia" w:cs="Times New Roman"/>
                <w:sz w:val="24"/>
                <w:szCs w:val="24"/>
              </w:rPr>
              <w:t>三级B评价不进行环境影响预测。</w:t>
            </w:r>
          </w:p>
          <w:p>
            <w:pPr>
              <w:spacing w:line="480" w:lineRule="exact"/>
              <w:ind w:firstLine="482" w:firstLineChars="200"/>
              <w:jc w:val="center"/>
              <w:rPr>
                <w:rFonts w:hint="eastAsia" w:cs="Times New Roman"/>
                <w:b/>
                <w:sz w:val="24"/>
                <w:szCs w:val="24"/>
              </w:rPr>
            </w:pPr>
            <w:r>
              <w:rPr>
                <w:rFonts w:hint="eastAsia"/>
                <w:b/>
                <w:sz w:val="24"/>
                <w:szCs w:val="24"/>
              </w:rPr>
              <w:t>表7-1</w:t>
            </w:r>
            <w:r>
              <w:rPr>
                <w:b/>
                <w:sz w:val="24"/>
                <w:szCs w:val="24"/>
              </w:rPr>
              <w:t xml:space="preserve"> 废水</w:t>
            </w:r>
            <w:r>
              <w:rPr>
                <w:rFonts w:hint="eastAsia"/>
                <w:b/>
                <w:sz w:val="24"/>
                <w:szCs w:val="24"/>
              </w:rPr>
              <w:t>类别、</w:t>
            </w:r>
            <w:r>
              <w:rPr>
                <w:b/>
                <w:sz w:val="24"/>
                <w:szCs w:val="24"/>
              </w:rPr>
              <w:t>污染物及污染治理设施信息表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54"/>
              <w:gridCol w:w="691"/>
              <w:gridCol w:w="818"/>
              <w:gridCol w:w="710"/>
              <w:gridCol w:w="809"/>
              <w:gridCol w:w="837"/>
              <w:gridCol w:w="912"/>
              <w:gridCol w:w="741"/>
              <w:gridCol w:w="67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427" w:type="dxa"/>
                  <w:vMerge w:val="restart"/>
                  <w:vAlign w:val="center"/>
                </w:tcPr>
                <w:p>
                  <w:pPr>
                    <w:adjustRightInd w:val="0"/>
                    <w:snapToGrid w:val="0"/>
                    <w:jc w:val="center"/>
                    <w:rPr>
                      <w:b/>
                      <w:sz w:val="21"/>
                      <w:szCs w:val="21"/>
                    </w:rPr>
                  </w:pPr>
                  <w:r>
                    <w:rPr>
                      <w:rFonts w:hint="eastAsia"/>
                      <w:b/>
                      <w:sz w:val="21"/>
                      <w:szCs w:val="21"/>
                    </w:rPr>
                    <w:t>序号</w:t>
                  </w:r>
                </w:p>
              </w:tc>
              <w:tc>
                <w:tcPr>
                  <w:tcW w:w="754" w:type="dxa"/>
                  <w:vMerge w:val="restart"/>
                  <w:vAlign w:val="center"/>
                </w:tcPr>
                <w:p>
                  <w:pPr>
                    <w:adjustRightInd w:val="0"/>
                    <w:snapToGrid w:val="0"/>
                    <w:jc w:val="center"/>
                    <w:rPr>
                      <w:b/>
                      <w:sz w:val="21"/>
                      <w:szCs w:val="21"/>
                    </w:rPr>
                  </w:pPr>
                  <w:r>
                    <w:rPr>
                      <w:rFonts w:hint="eastAsia"/>
                      <w:b/>
                      <w:sz w:val="21"/>
                      <w:szCs w:val="21"/>
                    </w:rPr>
                    <w:t>废水类别</w:t>
                  </w:r>
                </w:p>
              </w:tc>
              <w:tc>
                <w:tcPr>
                  <w:tcW w:w="691" w:type="dxa"/>
                  <w:vMerge w:val="restart"/>
                  <w:vAlign w:val="center"/>
                </w:tcPr>
                <w:p>
                  <w:pPr>
                    <w:adjustRightInd w:val="0"/>
                    <w:snapToGrid w:val="0"/>
                    <w:jc w:val="center"/>
                    <w:rPr>
                      <w:b/>
                      <w:sz w:val="21"/>
                      <w:szCs w:val="21"/>
                    </w:rPr>
                  </w:pPr>
                  <w:r>
                    <w:rPr>
                      <w:rFonts w:hint="eastAsia"/>
                      <w:b/>
                      <w:sz w:val="21"/>
                      <w:szCs w:val="21"/>
                    </w:rPr>
                    <w:t>污染物</w:t>
                  </w:r>
                </w:p>
                <w:p>
                  <w:pPr>
                    <w:adjustRightInd w:val="0"/>
                    <w:snapToGrid w:val="0"/>
                    <w:jc w:val="center"/>
                    <w:rPr>
                      <w:b/>
                      <w:sz w:val="21"/>
                      <w:szCs w:val="21"/>
                    </w:rPr>
                  </w:pPr>
                  <w:r>
                    <w:rPr>
                      <w:rFonts w:hint="eastAsia"/>
                      <w:b/>
                      <w:sz w:val="21"/>
                      <w:szCs w:val="21"/>
                    </w:rPr>
                    <w:t>种类</w:t>
                  </w:r>
                </w:p>
              </w:tc>
              <w:tc>
                <w:tcPr>
                  <w:tcW w:w="818" w:type="dxa"/>
                  <w:vMerge w:val="restart"/>
                  <w:vAlign w:val="center"/>
                </w:tcPr>
                <w:p>
                  <w:pPr>
                    <w:adjustRightInd w:val="0"/>
                    <w:snapToGrid w:val="0"/>
                    <w:jc w:val="center"/>
                    <w:rPr>
                      <w:b/>
                      <w:sz w:val="21"/>
                      <w:szCs w:val="21"/>
                    </w:rPr>
                  </w:pPr>
                  <w:r>
                    <w:rPr>
                      <w:rFonts w:hint="eastAsia"/>
                      <w:b/>
                      <w:sz w:val="21"/>
                      <w:szCs w:val="21"/>
                    </w:rPr>
                    <w:t>排放去向</w:t>
                  </w:r>
                </w:p>
              </w:tc>
              <w:tc>
                <w:tcPr>
                  <w:tcW w:w="710" w:type="dxa"/>
                  <w:vMerge w:val="restart"/>
                  <w:vAlign w:val="center"/>
                </w:tcPr>
                <w:p>
                  <w:pPr>
                    <w:adjustRightInd w:val="0"/>
                    <w:snapToGrid w:val="0"/>
                    <w:jc w:val="center"/>
                    <w:rPr>
                      <w:b/>
                      <w:sz w:val="21"/>
                      <w:szCs w:val="21"/>
                    </w:rPr>
                  </w:pPr>
                  <w:r>
                    <w:rPr>
                      <w:rFonts w:hint="eastAsia"/>
                      <w:b/>
                      <w:sz w:val="21"/>
                      <w:szCs w:val="21"/>
                    </w:rPr>
                    <w:t>排放规律</w:t>
                  </w:r>
                </w:p>
              </w:tc>
              <w:tc>
                <w:tcPr>
                  <w:tcW w:w="2558" w:type="dxa"/>
                  <w:gridSpan w:val="3"/>
                  <w:vAlign w:val="center"/>
                </w:tcPr>
                <w:p>
                  <w:pPr>
                    <w:adjustRightInd w:val="0"/>
                    <w:snapToGrid w:val="0"/>
                    <w:jc w:val="center"/>
                    <w:rPr>
                      <w:b/>
                      <w:sz w:val="21"/>
                      <w:szCs w:val="21"/>
                    </w:rPr>
                  </w:pPr>
                  <w:r>
                    <w:rPr>
                      <w:rFonts w:hint="eastAsia"/>
                      <w:b/>
                      <w:sz w:val="21"/>
                      <w:szCs w:val="21"/>
                    </w:rPr>
                    <w:t>污染治理设施</w:t>
                  </w:r>
                </w:p>
              </w:tc>
              <w:tc>
                <w:tcPr>
                  <w:tcW w:w="741" w:type="dxa"/>
                  <w:vMerge w:val="restart"/>
                  <w:vAlign w:val="center"/>
                </w:tcPr>
                <w:p>
                  <w:pPr>
                    <w:adjustRightInd w:val="0"/>
                    <w:snapToGrid w:val="0"/>
                    <w:jc w:val="center"/>
                    <w:rPr>
                      <w:b/>
                      <w:sz w:val="21"/>
                      <w:szCs w:val="21"/>
                    </w:rPr>
                  </w:pPr>
                  <w:r>
                    <w:rPr>
                      <w:rFonts w:hint="eastAsia"/>
                      <w:b/>
                      <w:sz w:val="21"/>
                      <w:szCs w:val="21"/>
                    </w:rPr>
                    <w:t>排放口编号</w:t>
                  </w:r>
                </w:p>
              </w:tc>
              <w:tc>
                <w:tcPr>
                  <w:tcW w:w="676" w:type="dxa"/>
                  <w:vMerge w:val="restart"/>
                  <w:vAlign w:val="center"/>
                </w:tcPr>
                <w:p>
                  <w:pPr>
                    <w:adjustRightInd w:val="0"/>
                    <w:snapToGrid w:val="0"/>
                    <w:jc w:val="center"/>
                    <w:rPr>
                      <w:b/>
                      <w:sz w:val="21"/>
                      <w:szCs w:val="21"/>
                    </w:rPr>
                  </w:pPr>
                  <w:r>
                    <w:rPr>
                      <w:rFonts w:hint="eastAsia"/>
                      <w:b/>
                      <w:sz w:val="21"/>
                      <w:szCs w:val="21"/>
                    </w:rPr>
                    <w:t>排放口设置是否符合要求</w:t>
                  </w:r>
                </w:p>
              </w:tc>
              <w:tc>
                <w:tcPr>
                  <w:tcW w:w="927" w:type="dxa"/>
                  <w:vMerge w:val="restart"/>
                  <w:vAlign w:val="center"/>
                </w:tcPr>
                <w:p>
                  <w:pPr>
                    <w:adjustRightInd w:val="0"/>
                    <w:snapToGrid w:val="0"/>
                    <w:jc w:val="center"/>
                    <w:rPr>
                      <w:b/>
                      <w:sz w:val="21"/>
                      <w:szCs w:val="21"/>
                    </w:rPr>
                  </w:pPr>
                  <w:r>
                    <w:rPr>
                      <w:rFonts w:hint="eastAsia"/>
                      <w:b/>
                      <w:sz w:val="21"/>
                      <w:szCs w:val="21"/>
                    </w:rPr>
                    <w:t>排放口</w:t>
                  </w:r>
                </w:p>
                <w:p>
                  <w:pPr>
                    <w:adjustRightInd w:val="0"/>
                    <w:snapToGrid w:val="0"/>
                    <w:jc w:val="center"/>
                    <w:rPr>
                      <w:b/>
                      <w:sz w:val="21"/>
                      <w:szCs w:val="21"/>
                    </w:rPr>
                  </w:pPr>
                  <w:r>
                    <w:rPr>
                      <w:rFonts w:hint="eastAsia"/>
                      <w:b/>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427" w:type="dxa"/>
                  <w:vMerge w:val="continue"/>
                  <w:vAlign w:val="center"/>
                </w:tcPr>
                <w:p>
                  <w:pPr>
                    <w:adjustRightInd w:val="0"/>
                    <w:snapToGrid w:val="0"/>
                    <w:jc w:val="center"/>
                    <w:rPr>
                      <w:rFonts w:ascii="黑体" w:eastAsia="黑体"/>
                      <w:b/>
                      <w:sz w:val="21"/>
                      <w:szCs w:val="21"/>
                    </w:rPr>
                  </w:pPr>
                </w:p>
              </w:tc>
              <w:tc>
                <w:tcPr>
                  <w:tcW w:w="754" w:type="dxa"/>
                  <w:vMerge w:val="continue"/>
                  <w:vAlign w:val="center"/>
                </w:tcPr>
                <w:p>
                  <w:pPr>
                    <w:adjustRightInd w:val="0"/>
                    <w:snapToGrid w:val="0"/>
                    <w:jc w:val="center"/>
                    <w:rPr>
                      <w:rFonts w:ascii="黑体" w:eastAsia="黑体"/>
                      <w:b/>
                      <w:sz w:val="21"/>
                      <w:szCs w:val="21"/>
                    </w:rPr>
                  </w:pPr>
                </w:p>
              </w:tc>
              <w:tc>
                <w:tcPr>
                  <w:tcW w:w="691" w:type="dxa"/>
                  <w:vMerge w:val="continue"/>
                  <w:vAlign w:val="center"/>
                </w:tcPr>
                <w:p>
                  <w:pPr>
                    <w:adjustRightInd w:val="0"/>
                    <w:snapToGrid w:val="0"/>
                    <w:jc w:val="center"/>
                    <w:rPr>
                      <w:rFonts w:ascii="黑体" w:eastAsia="黑体"/>
                      <w:b/>
                      <w:sz w:val="21"/>
                      <w:szCs w:val="21"/>
                    </w:rPr>
                  </w:pPr>
                </w:p>
              </w:tc>
              <w:tc>
                <w:tcPr>
                  <w:tcW w:w="818" w:type="dxa"/>
                  <w:vMerge w:val="continue"/>
                  <w:vAlign w:val="center"/>
                </w:tcPr>
                <w:p>
                  <w:pPr>
                    <w:adjustRightInd w:val="0"/>
                    <w:snapToGrid w:val="0"/>
                    <w:jc w:val="center"/>
                    <w:rPr>
                      <w:rFonts w:ascii="黑体" w:eastAsia="黑体"/>
                      <w:b/>
                      <w:sz w:val="21"/>
                      <w:szCs w:val="21"/>
                    </w:rPr>
                  </w:pPr>
                </w:p>
              </w:tc>
              <w:tc>
                <w:tcPr>
                  <w:tcW w:w="710" w:type="dxa"/>
                  <w:vMerge w:val="continue"/>
                  <w:vAlign w:val="center"/>
                </w:tcPr>
                <w:p>
                  <w:pPr>
                    <w:adjustRightInd w:val="0"/>
                    <w:snapToGrid w:val="0"/>
                    <w:jc w:val="center"/>
                    <w:rPr>
                      <w:rFonts w:ascii="黑体" w:eastAsia="黑体"/>
                      <w:b/>
                      <w:sz w:val="21"/>
                      <w:szCs w:val="21"/>
                    </w:rPr>
                  </w:pPr>
                </w:p>
              </w:tc>
              <w:tc>
                <w:tcPr>
                  <w:tcW w:w="809" w:type="dxa"/>
                  <w:vAlign w:val="center"/>
                </w:tcPr>
                <w:p>
                  <w:pPr>
                    <w:adjustRightInd w:val="0"/>
                    <w:snapToGrid w:val="0"/>
                    <w:jc w:val="center"/>
                    <w:rPr>
                      <w:b/>
                      <w:sz w:val="21"/>
                      <w:szCs w:val="21"/>
                    </w:rPr>
                  </w:pPr>
                  <w:r>
                    <w:rPr>
                      <w:rFonts w:hint="eastAsia"/>
                      <w:b/>
                      <w:sz w:val="21"/>
                      <w:szCs w:val="21"/>
                    </w:rPr>
                    <w:t>污染治理设施</w:t>
                  </w:r>
                </w:p>
                <w:p>
                  <w:pPr>
                    <w:adjustRightInd w:val="0"/>
                    <w:snapToGrid w:val="0"/>
                    <w:jc w:val="center"/>
                    <w:rPr>
                      <w:b/>
                      <w:sz w:val="21"/>
                      <w:szCs w:val="21"/>
                    </w:rPr>
                  </w:pPr>
                  <w:r>
                    <w:rPr>
                      <w:rFonts w:hint="eastAsia"/>
                      <w:b/>
                      <w:sz w:val="21"/>
                      <w:szCs w:val="21"/>
                    </w:rPr>
                    <w:t>编号</w:t>
                  </w:r>
                </w:p>
              </w:tc>
              <w:tc>
                <w:tcPr>
                  <w:tcW w:w="837" w:type="dxa"/>
                  <w:vAlign w:val="center"/>
                </w:tcPr>
                <w:p>
                  <w:pPr>
                    <w:adjustRightInd w:val="0"/>
                    <w:snapToGrid w:val="0"/>
                    <w:jc w:val="center"/>
                    <w:rPr>
                      <w:b/>
                      <w:sz w:val="21"/>
                      <w:szCs w:val="21"/>
                    </w:rPr>
                  </w:pPr>
                  <w:r>
                    <w:rPr>
                      <w:rFonts w:hint="eastAsia"/>
                      <w:b/>
                      <w:sz w:val="21"/>
                      <w:szCs w:val="21"/>
                    </w:rPr>
                    <w:t>污染治理设施</w:t>
                  </w:r>
                </w:p>
                <w:p>
                  <w:pPr>
                    <w:adjustRightInd w:val="0"/>
                    <w:snapToGrid w:val="0"/>
                    <w:jc w:val="center"/>
                    <w:rPr>
                      <w:b/>
                      <w:sz w:val="21"/>
                      <w:szCs w:val="21"/>
                    </w:rPr>
                  </w:pPr>
                  <w:r>
                    <w:rPr>
                      <w:rFonts w:hint="eastAsia"/>
                      <w:b/>
                      <w:sz w:val="21"/>
                      <w:szCs w:val="21"/>
                    </w:rPr>
                    <w:t>名称</w:t>
                  </w:r>
                </w:p>
              </w:tc>
              <w:tc>
                <w:tcPr>
                  <w:tcW w:w="912" w:type="dxa"/>
                  <w:vAlign w:val="center"/>
                </w:tcPr>
                <w:p>
                  <w:pPr>
                    <w:adjustRightInd w:val="0"/>
                    <w:snapToGrid w:val="0"/>
                    <w:jc w:val="center"/>
                    <w:rPr>
                      <w:b/>
                      <w:sz w:val="21"/>
                      <w:szCs w:val="21"/>
                    </w:rPr>
                  </w:pPr>
                  <w:r>
                    <w:rPr>
                      <w:rFonts w:hint="eastAsia"/>
                      <w:b/>
                      <w:sz w:val="21"/>
                      <w:szCs w:val="21"/>
                    </w:rPr>
                    <w:t>污染治理设施工艺</w:t>
                  </w:r>
                </w:p>
              </w:tc>
              <w:tc>
                <w:tcPr>
                  <w:tcW w:w="741" w:type="dxa"/>
                  <w:vMerge w:val="continue"/>
                  <w:vAlign w:val="center"/>
                </w:tcPr>
                <w:p>
                  <w:pPr>
                    <w:adjustRightInd w:val="0"/>
                    <w:snapToGrid w:val="0"/>
                    <w:jc w:val="center"/>
                    <w:rPr>
                      <w:rFonts w:ascii="黑体" w:eastAsia="黑体"/>
                      <w:b/>
                      <w:sz w:val="21"/>
                      <w:szCs w:val="21"/>
                    </w:rPr>
                  </w:pPr>
                </w:p>
              </w:tc>
              <w:tc>
                <w:tcPr>
                  <w:tcW w:w="676" w:type="dxa"/>
                  <w:vMerge w:val="continue"/>
                  <w:vAlign w:val="center"/>
                </w:tcPr>
                <w:p>
                  <w:pPr>
                    <w:adjustRightInd w:val="0"/>
                    <w:snapToGrid w:val="0"/>
                    <w:jc w:val="center"/>
                    <w:rPr>
                      <w:rFonts w:ascii="黑体" w:eastAsia="黑体"/>
                      <w:b/>
                      <w:sz w:val="21"/>
                      <w:szCs w:val="21"/>
                    </w:rPr>
                  </w:pPr>
                </w:p>
              </w:tc>
              <w:tc>
                <w:tcPr>
                  <w:tcW w:w="927" w:type="dxa"/>
                  <w:vMerge w:val="continue"/>
                  <w:vAlign w:val="center"/>
                </w:tcPr>
                <w:p>
                  <w:pPr>
                    <w:adjustRightInd w:val="0"/>
                    <w:snapToGrid w:val="0"/>
                    <w:jc w:val="center"/>
                    <w:rPr>
                      <w:rFonts w:ascii="黑体"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1</w:t>
                  </w:r>
                </w:p>
              </w:tc>
              <w:tc>
                <w:tcPr>
                  <w:tcW w:w="754" w:type="dxa"/>
                  <w:vMerge w:val="restart"/>
                  <w:vAlign w:val="center"/>
                </w:tcPr>
                <w:p>
                  <w:pPr>
                    <w:adjustRightInd w:val="0"/>
                    <w:snapToGrid w:val="0"/>
                    <w:rPr>
                      <w:sz w:val="21"/>
                      <w:szCs w:val="21"/>
                    </w:rPr>
                  </w:pPr>
                  <w:r>
                    <w:rPr>
                      <w:rFonts w:hint="eastAsia"/>
                      <w:sz w:val="21"/>
                      <w:szCs w:val="21"/>
                    </w:rPr>
                    <w:t>生活废水</w:t>
                  </w:r>
                </w:p>
              </w:tc>
              <w:tc>
                <w:tcPr>
                  <w:tcW w:w="691" w:type="dxa"/>
                  <w:vAlign w:val="center"/>
                </w:tcPr>
                <w:p>
                  <w:pPr>
                    <w:adjustRightInd w:val="0"/>
                    <w:snapToGrid w:val="0"/>
                    <w:jc w:val="center"/>
                    <w:rPr>
                      <w:sz w:val="21"/>
                      <w:szCs w:val="21"/>
                    </w:rPr>
                  </w:pPr>
                  <w:r>
                    <w:rPr>
                      <w:rFonts w:hint="eastAsia"/>
                      <w:sz w:val="21"/>
                      <w:szCs w:val="21"/>
                    </w:rPr>
                    <w:t>C</w:t>
                  </w:r>
                  <w:r>
                    <w:rPr>
                      <w:sz w:val="21"/>
                      <w:szCs w:val="21"/>
                    </w:rPr>
                    <w:t>OD</w:t>
                  </w:r>
                </w:p>
              </w:tc>
              <w:tc>
                <w:tcPr>
                  <w:tcW w:w="818" w:type="dxa"/>
                  <w:vMerge w:val="restart"/>
                  <w:vAlign w:val="center"/>
                </w:tcPr>
                <w:p>
                  <w:pPr>
                    <w:adjustRightInd w:val="0"/>
                    <w:snapToGrid w:val="0"/>
                    <w:rPr>
                      <w:sz w:val="21"/>
                      <w:szCs w:val="21"/>
                    </w:rPr>
                  </w:pPr>
                  <w:r>
                    <w:rPr>
                      <w:rFonts w:hint="eastAsia"/>
                      <w:sz w:val="21"/>
                      <w:szCs w:val="21"/>
                    </w:rPr>
                    <w:t>进入城市污水处理厂</w:t>
                  </w:r>
                </w:p>
              </w:tc>
              <w:tc>
                <w:tcPr>
                  <w:tcW w:w="710" w:type="dxa"/>
                  <w:vMerge w:val="restart"/>
                  <w:vAlign w:val="center"/>
                </w:tcPr>
                <w:p>
                  <w:pPr>
                    <w:adjustRightInd w:val="0"/>
                    <w:snapToGrid w:val="0"/>
                    <w:rPr>
                      <w:sz w:val="21"/>
                      <w:szCs w:val="21"/>
                    </w:rPr>
                  </w:pPr>
                  <w:r>
                    <w:rPr>
                      <w:rFonts w:hint="eastAsia"/>
                      <w:sz w:val="21"/>
                      <w:szCs w:val="21"/>
                    </w:rPr>
                    <w:t>间断排放，排放期间流量不稳定，但有周期性规律</w:t>
                  </w:r>
                </w:p>
              </w:tc>
              <w:tc>
                <w:tcPr>
                  <w:tcW w:w="809" w:type="dxa"/>
                  <w:vMerge w:val="restart"/>
                  <w:vAlign w:val="center"/>
                </w:tcPr>
                <w:p>
                  <w:pPr>
                    <w:adjustRightInd w:val="0"/>
                    <w:snapToGrid w:val="0"/>
                    <w:jc w:val="center"/>
                    <w:rPr>
                      <w:sz w:val="21"/>
                      <w:szCs w:val="21"/>
                    </w:rPr>
                  </w:pPr>
                  <w:r>
                    <w:rPr>
                      <w:rFonts w:hint="eastAsia"/>
                      <w:sz w:val="21"/>
                      <w:szCs w:val="21"/>
                      <w:lang w:val="en-US" w:eastAsia="zh-CN"/>
                    </w:rPr>
                    <w:t>1</w:t>
                  </w:r>
                  <w:r>
                    <w:rPr>
                      <w:rFonts w:hint="eastAsia"/>
                      <w:sz w:val="21"/>
                      <w:szCs w:val="21"/>
                    </w:rPr>
                    <w:t>#</w:t>
                  </w:r>
                </w:p>
              </w:tc>
              <w:tc>
                <w:tcPr>
                  <w:tcW w:w="837" w:type="dxa"/>
                  <w:vMerge w:val="restart"/>
                  <w:vAlign w:val="center"/>
                </w:tcPr>
                <w:p>
                  <w:pPr>
                    <w:adjustRightInd w:val="0"/>
                    <w:snapToGrid w:val="0"/>
                    <w:rPr>
                      <w:sz w:val="21"/>
                      <w:szCs w:val="21"/>
                    </w:rPr>
                  </w:pPr>
                  <w:r>
                    <w:rPr>
                      <w:rFonts w:hint="eastAsia"/>
                      <w:sz w:val="21"/>
                      <w:szCs w:val="21"/>
                    </w:rPr>
                    <w:t>生活污水处理系统</w:t>
                  </w:r>
                </w:p>
              </w:tc>
              <w:tc>
                <w:tcPr>
                  <w:tcW w:w="912" w:type="dxa"/>
                  <w:vMerge w:val="restart"/>
                  <w:vAlign w:val="center"/>
                </w:tcPr>
                <w:p>
                  <w:pPr>
                    <w:adjustRightInd w:val="0"/>
                    <w:snapToGrid w:val="0"/>
                    <w:jc w:val="center"/>
                    <w:rPr>
                      <w:sz w:val="21"/>
                      <w:szCs w:val="21"/>
                    </w:rPr>
                  </w:pPr>
                  <w:r>
                    <w:rPr>
                      <w:rFonts w:hint="eastAsia"/>
                      <w:sz w:val="21"/>
                      <w:szCs w:val="21"/>
                    </w:rPr>
                    <w:t>化粪池</w:t>
                  </w:r>
                </w:p>
              </w:tc>
              <w:tc>
                <w:tcPr>
                  <w:tcW w:w="741" w:type="dxa"/>
                  <w:vMerge w:val="restart"/>
                  <w:vAlign w:val="center"/>
                </w:tcPr>
                <w:p>
                  <w:pPr>
                    <w:adjustRightInd w:val="0"/>
                    <w:snapToGrid w:val="0"/>
                    <w:rPr>
                      <w:sz w:val="21"/>
                      <w:szCs w:val="21"/>
                    </w:rPr>
                  </w:pPr>
                  <w:r>
                    <w:rPr>
                      <w:rFonts w:hint="eastAsia"/>
                      <w:sz w:val="21"/>
                      <w:szCs w:val="21"/>
                    </w:rPr>
                    <w:t>D</w:t>
                  </w:r>
                  <w:r>
                    <w:rPr>
                      <w:sz w:val="21"/>
                      <w:szCs w:val="21"/>
                    </w:rPr>
                    <w:t>W</w:t>
                  </w:r>
                  <w:r>
                    <w:rPr>
                      <w:rFonts w:hint="eastAsia"/>
                      <w:sz w:val="21"/>
                      <w:szCs w:val="21"/>
                    </w:rPr>
                    <w:t>001</w:t>
                  </w:r>
                </w:p>
              </w:tc>
              <w:tc>
                <w:tcPr>
                  <w:tcW w:w="676" w:type="dxa"/>
                  <w:vMerge w:val="restart"/>
                  <w:vAlign w:val="center"/>
                </w:tcPr>
                <w:p>
                  <w:pPr>
                    <w:adjustRightInd w:val="0"/>
                    <w:snapToGrid w:val="0"/>
                    <w:jc w:val="center"/>
                    <w:rPr>
                      <w:sz w:val="21"/>
                      <w:szCs w:val="21"/>
                    </w:rPr>
                  </w:pPr>
                  <w:r>
                    <w:rPr>
                      <w:sz w:val="21"/>
                      <w:szCs w:val="21"/>
                    </w:rPr>
                    <w:sym w:font="Wingdings 2" w:char="0052"/>
                  </w:r>
                  <w:r>
                    <w:rPr>
                      <w:rFonts w:hint="eastAsia"/>
                      <w:sz w:val="21"/>
                      <w:szCs w:val="21"/>
                    </w:rPr>
                    <w:t>是</w:t>
                  </w:r>
                </w:p>
                <w:p>
                  <w:pPr>
                    <w:jc w:val="center"/>
                    <w:rPr>
                      <w:sz w:val="21"/>
                      <w:szCs w:val="21"/>
                    </w:rPr>
                  </w:pPr>
                  <w:r>
                    <w:rPr>
                      <w:sz w:val="21"/>
                      <w:szCs w:val="21"/>
                    </w:rPr>
                    <w:t>□</w:t>
                  </w:r>
                  <w:r>
                    <w:rPr>
                      <w:rFonts w:hint="eastAsia"/>
                      <w:sz w:val="21"/>
                      <w:szCs w:val="21"/>
                    </w:rPr>
                    <w:t>否</w:t>
                  </w:r>
                </w:p>
              </w:tc>
              <w:tc>
                <w:tcPr>
                  <w:tcW w:w="927" w:type="dxa"/>
                  <w:vMerge w:val="restart"/>
                  <w:vAlign w:val="center"/>
                </w:tcPr>
                <w:p>
                  <w:pPr>
                    <w:adjustRightInd w:val="0"/>
                    <w:snapToGrid w:val="0"/>
                    <w:rPr>
                      <w:snapToGrid w:val="0"/>
                      <w:kern w:val="20"/>
                      <w:sz w:val="21"/>
                      <w:szCs w:val="21"/>
                    </w:rPr>
                  </w:pPr>
                  <w:r>
                    <w:rPr>
                      <w:sz w:val="21"/>
                      <w:szCs w:val="21"/>
                    </w:rPr>
                    <w:sym w:font="Wingdings 2" w:char="0052"/>
                  </w:r>
                  <w:r>
                    <w:rPr>
                      <w:rFonts w:hint="eastAsia"/>
                      <w:sz w:val="21"/>
                      <w:szCs w:val="21"/>
                    </w:rPr>
                    <w:t>企业总排</w:t>
                  </w:r>
                </w:p>
                <w:p>
                  <w:pPr>
                    <w:adjustRightInd w:val="0"/>
                    <w:snapToGrid w:val="0"/>
                    <w:rPr>
                      <w:sz w:val="21"/>
                      <w:szCs w:val="21"/>
                    </w:rPr>
                  </w:pPr>
                  <w:r>
                    <w:rPr>
                      <w:sz w:val="21"/>
                      <w:szCs w:val="21"/>
                    </w:rPr>
                    <w:t>□</w:t>
                  </w:r>
                  <w:r>
                    <w:rPr>
                      <w:rFonts w:hint="eastAsia"/>
                      <w:sz w:val="21"/>
                      <w:szCs w:val="21"/>
                    </w:rPr>
                    <w:t>雨水排放</w:t>
                  </w:r>
                </w:p>
                <w:p>
                  <w:pPr>
                    <w:adjustRightInd w:val="0"/>
                    <w:snapToGrid w:val="0"/>
                    <w:rPr>
                      <w:sz w:val="21"/>
                      <w:szCs w:val="21"/>
                    </w:rPr>
                  </w:pPr>
                  <w:r>
                    <w:rPr>
                      <w:sz w:val="21"/>
                      <w:szCs w:val="21"/>
                    </w:rPr>
                    <w:t>□</w:t>
                  </w:r>
                  <w:r>
                    <w:rPr>
                      <w:rFonts w:hint="eastAsia"/>
                      <w:spacing w:val="-10"/>
                      <w:sz w:val="21"/>
                      <w:szCs w:val="21"/>
                    </w:rPr>
                    <w:t>清净下水排放</w:t>
                  </w:r>
                </w:p>
                <w:p>
                  <w:pPr>
                    <w:adjustRightInd w:val="0"/>
                    <w:snapToGrid w:val="0"/>
                    <w:rPr>
                      <w:sz w:val="21"/>
                      <w:szCs w:val="21"/>
                    </w:rPr>
                  </w:pPr>
                  <w:r>
                    <w:rPr>
                      <w:sz w:val="21"/>
                      <w:szCs w:val="21"/>
                    </w:rPr>
                    <w:t>□</w:t>
                  </w:r>
                  <w:r>
                    <w:rPr>
                      <w:rFonts w:hint="eastAsia"/>
                      <w:sz w:val="21"/>
                      <w:szCs w:val="21"/>
                    </w:rPr>
                    <w:t>温排水排放</w:t>
                  </w:r>
                </w:p>
                <w:p>
                  <w:pPr>
                    <w:adjustRightInd w:val="0"/>
                    <w:snapToGrid w:val="0"/>
                    <w:rPr>
                      <w:sz w:val="21"/>
                      <w:szCs w:val="21"/>
                    </w:rPr>
                  </w:pPr>
                  <w:r>
                    <w:rPr>
                      <w:sz w:val="21"/>
                      <w:szCs w:val="21"/>
                    </w:rPr>
                    <w:t>□</w:t>
                  </w:r>
                  <w:r>
                    <w:rPr>
                      <w:rFonts w:hint="eastAsia"/>
                      <w:sz w:val="21"/>
                      <w:szCs w:val="21"/>
                    </w:rPr>
                    <w:t>车间或车间处理设施排放口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2</w:t>
                  </w:r>
                </w:p>
              </w:tc>
              <w:tc>
                <w:tcPr>
                  <w:tcW w:w="754" w:type="dxa"/>
                  <w:vMerge w:val="continue"/>
                  <w:vAlign w:val="center"/>
                </w:tcPr>
                <w:p>
                  <w:pPr>
                    <w:adjustRightInd w:val="0"/>
                    <w:snapToGrid w:val="0"/>
                    <w:rPr>
                      <w:sz w:val="21"/>
                      <w:szCs w:val="21"/>
                    </w:rPr>
                  </w:pPr>
                </w:p>
              </w:tc>
              <w:tc>
                <w:tcPr>
                  <w:tcW w:w="691" w:type="dxa"/>
                  <w:vAlign w:val="center"/>
                </w:tcPr>
                <w:p>
                  <w:pPr>
                    <w:adjustRightInd w:val="0"/>
                    <w:snapToGrid w:val="0"/>
                    <w:jc w:val="center"/>
                    <w:rPr>
                      <w:sz w:val="21"/>
                      <w:szCs w:val="21"/>
                    </w:rPr>
                  </w:pPr>
                  <w:r>
                    <w:rPr>
                      <w:rFonts w:hint="eastAsia"/>
                      <w:sz w:val="21"/>
                      <w:szCs w:val="21"/>
                    </w:rPr>
                    <w:t>S</w:t>
                  </w:r>
                  <w:r>
                    <w:rPr>
                      <w:sz w:val="21"/>
                      <w:szCs w:val="21"/>
                    </w:rPr>
                    <w:t>S</w:t>
                  </w:r>
                </w:p>
              </w:tc>
              <w:tc>
                <w:tcPr>
                  <w:tcW w:w="818" w:type="dxa"/>
                  <w:vMerge w:val="continue"/>
                  <w:vAlign w:val="center"/>
                </w:tcPr>
                <w:p>
                  <w:pPr>
                    <w:adjustRightInd w:val="0"/>
                    <w:snapToGrid w:val="0"/>
                    <w:rPr>
                      <w:sz w:val="21"/>
                      <w:szCs w:val="21"/>
                    </w:rPr>
                  </w:pPr>
                </w:p>
              </w:tc>
              <w:tc>
                <w:tcPr>
                  <w:tcW w:w="710" w:type="dxa"/>
                  <w:vMerge w:val="continue"/>
                  <w:vAlign w:val="center"/>
                </w:tcPr>
                <w:p>
                  <w:pPr>
                    <w:adjustRightInd w:val="0"/>
                    <w:snapToGrid w:val="0"/>
                    <w:rPr>
                      <w:sz w:val="21"/>
                      <w:szCs w:val="21"/>
                    </w:rPr>
                  </w:pPr>
                </w:p>
              </w:tc>
              <w:tc>
                <w:tcPr>
                  <w:tcW w:w="809" w:type="dxa"/>
                  <w:vMerge w:val="continue"/>
                  <w:vAlign w:val="center"/>
                </w:tcPr>
                <w:p>
                  <w:pPr>
                    <w:adjustRightInd w:val="0"/>
                    <w:snapToGrid w:val="0"/>
                    <w:jc w:val="center"/>
                    <w:rPr>
                      <w:sz w:val="21"/>
                      <w:szCs w:val="21"/>
                    </w:rPr>
                  </w:pPr>
                </w:p>
              </w:tc>
              <w:tc>
                <w:tcPr>
                  <w:tcW w:w="837" w:type="dxa"/>
                  <w:vMerge w:val="continue"/>
                  <w:vAlign w:val="center"/>
                </w:tcPr>
                <w:p>
                  <w:pPr>
                    <w:adjustRightInd w:val="0"/>
                    <w:snapToGrid w:val="0"/>
                    <w:rPr>
                      <w:sz w:val="21"/>
                      <w:szCs w:val="21"/>
                    </w:rPr>
                  </w:pPr>
                </w:p>
              </w:tc>
              <w:tc>
                <w:tcPr>
                  <w:tcW w:w="912" w:type="dxa"/>
                  <w:vMerge w:val="continue"/>
                  <w:vAlign w:val="center"/>
                </w:tcPr>
                <w:p>
                  <w:pPr>
                    <w:adjustRightInd w:val="0"/>
                    <w:snapToGrid w:val="0"/>
                    <w:jc w:val="center"/>
                    <w:rPr>
                      <w:sz w:val="21"/>
                      <w:szCs w:val="21"/>
                    </w:rPr>
                  </w:pPr>
                </w:p>
              </w:tc>
              <w:tc>
                <w:tcPr>
                  <w:tcW w:w="741" w:type="dxa"/>
                  <w:vMerge w:val="continue"/>
                  <w:vAlign w:val="center"/>
                </w:tcPr>
                <w:p>
                  <w:pPr>
                    <w:adjustRightInd w:val="0"/>
                    <w:snapToGrid w:val="0"/>
                    <w:rPr>
                      <w:sz w:val="21"/>
                      <w:szCs w:val="21"/>
                    </w:rPr>
                  </w:pPr>
                </w:p>
              </w:tc>
              <w:tc>
                <w:tcPr>
                  <w:tcW w:w="676" w:type="dxa"/>
                  <w:vMerge w:val="continue"/>
                  <w:vAlign w:val="top"/>
                </w:tcPr>
                <w:p>
                  <w:pPr>
                    <w:rPr>
                      <w:sz w:val="21"/>
                      <w:szCs w:val="21"/>
                    </w:rPr>
                  </w:pPr>
                </w:p>
              </w:tc>
              <w:tc>
                <w:tcPr>
                  <w:tcW w:w="927" w:type="dxa"/>
                  <w:vMerge w:val="continue"/>
                  <w:vAlign w:val="center"/>
                </w:tcPr>
                <w:p>
                  <w:pPr>
                    <w:adjustRightInd w:val="0"/>
                    <w:snapToGrid w:val="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3</w:t>
                  </w:r>
                </w:p>
              </w:tc>
              <w:tc>
                <w:tcPr>
                  <w:tcW w:w="754" w:type="dxa"/>
                  <w:vMerge w:val="continue"/>
                  <w:vAlign w:val="center"/>
                </w:tcPr>
                <w:p>
                  <w:pPr>
                    <w:adjustRightInd w:val="0"/>
                    <w:snapToGrid w:val="0"/>
                    <w:rPr>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N</w:t>
                  </w:r>
                  <w:r>
                    <w:rPr>
                      <w:sz w:val="21"/>
                      <w:szCs w:val="21"/>
                    </w:rPr>
                    <w:t>H</w:t>
                  </w:r>
                  <w:r>
                    <w:rPr>
                      <w:sz w:val="21"/>
                      <w:szCs w:val="21"/>
                      <w:vertAlign w:val="subscript"/>
                    </w:rPr>
                    <w:t>3</w:t>
                  </w:r>
                  <w:r>
                    <w:rPr>
                      <w:sz w:val="21"/>
                      <w:szCs w:val="21"/>
                    </w:rPr>
                    <w:t>-N</w:t>
                  </w:r>
                </w:p>
              </w:tc>
              <w:tc>
                <w:tcPr>
                  <w:tcW w:w="818" w:type="dxa"/>
                  <w:vMerge w:val="continue"/>
                  <w:vAlign w:val="center"/>
                </w:tcPr>
                <w:p>
                  <w:pPr>
                    <w:adjustRightInd w:val="0"/>
                    <w:snapToGrid w:val="0"/>
                    <w:rPr>
                      <w:sz w:val="21"/>
                      <w:szCs w:val="21"/>
                    </w:rPr>
                  </w:pPr>
                </w:p>
              </w:tc>
              <w:tc>
                <w:tcPr>
                  <w:tcW w:w="710" w:type="dxa"/>
                  <w:vMerge w:val="continue"/>
                  <w:vAlign w:val="center"/>
                </w:tcPr>
                <w:p>
                  <w:pPr>
                    <w:adjustRightInd w:val="0"/>
                    <w:snapToGrid w:val="0"/>
                    <w:rPr>
                      <w:sz w:val="21"/>
                      <w:szCs w:val="21"/>
                    </w:rPr>
                  </w:pPr>
                </w:p>
              </w:tc>
              <w:tc>
                <w:tcPr>
                  <w:tcW w:w="809" w:type="dxa"/>
                  <w:vMerge w:val="continue"/>
                  <w:vAlign w:val="center"/>
                </w:tcPr>
                <w:p>
                  <w:pPr>
                    <w:adjustRightInd w:val="0"/>
                    <w:snapToGrid w:val="0"/>
                    <w:rPr>
                      <w:sz w:val="21"/>
                      <w:szCs w:val="21"/>
                    </w:rPr>
                  </w:pPr>
                </w:p>
              </w:tc>
              <w:tc>
                <w:tcPr>
                  <w:tcW w:w="837" w:type="dxa"/>
                  <w:vMerge w:val="continue"/>
                  <w:vAlign w:val="center"/>
                </w:tcPr>
                <w:p>
                  <w:pPr>
                    <w:adjustRightInd w:val="0"/>
                    <w:snapToGrid w:val="0"/>
                    <w:rPr>
                      <w:sz w:val="21"/>
                      <w:szCs w:val="21"/>
                    </w:rPr>
                  </w:pPr>
                </w:p>
              </w:tc>
              <w:tc>
                <w:tcPr>
                  <w:tcW w:w="912" w:type="dxa"/>
                  <w:vMerge w:val="continue"/>
                  <w:vAlign w:val="center"/>
                </w:tcPr>
                <w:p>
                  <w:pPr>
                    <w:adjustRightInd w:val="0"/>
                    <w:snapToGrid w:val="0"/>
                    <w:rPr>
                      <w:sz w:val="21"/>
                      <w:szCs w:val="21"/>
                    </w:rPr>
                  </w:pPr>
                </w:p>
              </w:tc>
              <w:tc>
                <w:tcPr>
                  <w:tcW w:w="741" w:type="dxa"/>
                  <w:vMerge w:val="continue"/>
                  <w:vAlign w:val="center"/>
                </w:tcPr>
                <w:p>
                  <w:pPr>
                    <w:adjustRightInd w:val="0"/>
                    <w:snapToGrid w:val="0"/>
                    <w:rPr>
                      <w:sz w:val="21"/>
                      <w:szCs w:val="21"/>
                    </w:rPr>
                  </w:pPr>
                </w:p>
              </w:tc>
              <w:tc>
                <w:tcPr>
                  <w:tcW w:w="676" w:type="dxa"/>
                  <w:vMerge w:val="continue"/>
                  <w:vAlign w:val="top"/>
                </w:tcPr>
                <w:p>
                  <w:pPr>
                    <w:adjustRightInd w:val="0"/>
                    <w:snapToGrid w:val="0"/>
                    <w:jc w:val="center"/>
                    <w:rPr>
                      <w:snapToGrid w:val="0"/>
                      <w:kern w:val="20"/>
                      <w:sz w:val="21"/>
                      <w:szCs w:val="21"/>
                    </w:rPr>
                  </w:pPr>
                </w:p>
              </w:tc>
              <w:tc>
                <w:tcPr>
                  <w:tcW w:w="927" w:type="dxa"/>
                  <w:vMerge w:val="continue"/>
                  <w:vAlign w:val="center"/>
                </w:tcPr>
                <w:p>
                  <w:pPr>
                    <w:adjustRightInd w:val="0"/>
                    <w:snapToGrid w:val="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4</w:t>
                  </w:r>
                </w:p>
              </w:tc>
              <w:tc>
                <w:tcPr>
                  <w:tcW w:w="754" w:type="dxa"/>
                  <w:vMerge w:val="continue"/>
                  <w:vAlign w:val="center"/>
                </w:tcPr>
                <w:p>
                  <w:pPr>
                    <w:adjustRightInd w:val="0"/>
                    <w:snapToGrid w:val="0"/>
                    <w:rPr>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T</w:t>
                  </w:r>
                  <w:r>
                    <w:rPr>
                      <w:sz w:val="21"/>
                      <w:szCs w:val="21"/>
                    </w:rPr>
                    <w:t>P</w:t>
                  </w:r>
                </w:p>
              </w:tc>
              <w:tc>
                <w:tcPr>
                  <w:tcW w:w="818" w:type="dxa"/>
                  <w:vMerge w:val="continue"/>
                  <w:vAlign w:val="center"/>
                </w:tcPr>
                <w:p>
                  <w:pPr>
                    <w:adjustRightInd w:val="0"/>
                    <w:snapToGrid w:val="0"/>
                    <w:rPr>
                      <w:sz w:val="21"/>
                      <w:szCs w:val="21"/>
                    </w:rPr>
                  </w:pPr>
                </w:p>
              </w:tc>
              <w:tc>
                <w:tcPr>
                  <w:tcW w:w="710" w:type="dxa"/>
                  <w:vMerge w:val="continue"/>
                  <w:vAlign w:val="center"/>
                </w:tcPr>
                <w:p>
                  <w:pPr>
                    <w:adjustRightInd w:val="0"/>
                    <w:snapToGrid w:val="0"/>
                    <w:rPr>
                      <w:sz w:val="21"/>
                      <w:szCs w:val="21"/>
                    </w:rPr>
                  </w:pPr>
                </w:p>
              </w:tc>
              <w:tc>
                <w:tcPr>
                  <w:tcW w:w="809" w:type="dxa"/>
                  <w:vMerge w:val="continue"/>
                  <w:vAlign w:val="center"/>
                </w:tcPr>
                <w:p>
                  <w:pPr>
                    <w:adjustRightInd w:val="0"/>
                    <w:snapToGrid w:val="0"/>
                    <w:rPr>
                      <w:sz w:val="21"/>
                      <w:szCs w:val="21"/>
                    </w:rPr>
                  </w:pPr>
                </w:p>
              </w:tc>
              <w:tc>
                <w:tcPr>
                  <w:tcW w:w="837" w:type="dxa"/>
                  <w:vMerge w:val="continue"/>
                  <w:vAlign w:val="center"/>
                </w:tcPr>
                <w:p>
                  <w:pPr>
                    <w:adjustRightInd w:val="0"/>
                    <w:snapToGrid w:val="0"/>
                    <w:rPr>
                      <w:sz w:val="21"/>
                      <w:szCs w:val="21"/>
                    </w:rPr>
                  </w:pPr>
                </w:p>
              </w:tc>
              <w:tc>
                <w:tcPr>
                  <w:tcW w:w="912" w:type="dxa"/>
                  <w:vMerge w:val="continue"/>
                  <w:vAlign w:val="center"/>
                </w:tcPr>
                <w:p>
                  <w:pPr>
                    <w:adjustRightInd w:val="0"/>
                    <w:snapToGrid w:val="0"/>
                    <w:rPr>
                      <w:sz w:val="21"/>
                      <w:szCs w:val="21"/>
                    </w:rPr>
                  </w:pPr>
                </w:p>
              </w:tc>
              <w:tc>
                <w:tcPr>
                  <w:tcW w:w="741" w:type="dxa"/>
                  <w:vMerge w:val="continue"/>
                  <w:vAlign w:val="center"/>
                </w:tcPr>
                <w:p>
                  <w:pPr>
                    <w:adjustRightInd w:val="0"/>
                    <w:snapToGrid w:val="0"/>
                    <w:rPr>
                      <w:sz w:val="21"/>
                      <w:szCs w:val="21"/>
                    </w:rPr>
                  </w:pPr>
                </w:p>
              </w:tc>
              <w:tc>
                <w:tcPr>
                  <w:tcW w:w="676" w:type="dxa"/>
                  <w:vMerge w:val="continue"/>
                  <w:vAlign w:val="top"/>
                </w:tcPr>
                <w:p>
                  <w:pPr>
                    <w:rPr>
                      <w:sz w:val="21"/>
                      <w:szCs w:val="21"/>
                    </w:rPr>
                  </w:pPr>
                </w:p>
              </w:tc>
              <w:tc>
                <w:tcPr>
                  <w:tcW w:w="927" w:type="dxa"/>
                  <w:vMerge w:val="continue"/>
                  <w:vAlign w:val="center"/>
                </w:tcPr>
                <w:p>
                  <w:pPr>
                    <w:adjustRightInd w:val="0"/>
                    <w:snapToGrid w:val="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5</w:t>
                  </w:r>
                </w:p>
              </w:tc>
              <w:tc>
                <w:tcPr>
                  <w:tcW w:w="754" w:type="dxa"/>
                  <w:vMerge w:val="continue"/>
                  <w:vAlign w:val="center"/>
                </w:tcPr>
                <w:p>
                  <w:pPr>
                    <w:adjustRightInd w:val="0"/>
                    <w:snapToGrid w:val="0"/>
                    <w:rPr>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T</w:t>
                  </w:r>
                  <w:r>
                    <w:rPr>
                      <w:sz w:val="21"/>
                      <w:szCs w:val="21"/>
                    </w:rPr>
                    <w:t>N</w:t>
                  </w:r>
                </w:p>
              </w:tc>
              <w:tc>
                <w:tcPr>
                  <w:tcW w:w="818" w:type="dxa"/>
                  <w:vMerge w:val="continue"/>
                  <w:vAlign w:val="center"/>
                </w:tcPr>
                <w:p>
                  <w:pPr>
                    <w:adjustRightInd w:val="0"/>
                    <w:snapToGrid w:val="0"/>
                    <w:rPr>
                      <w:sz w:val="21"/>
                      <w:szCs w:val="21"/>
                    </w:rPr>
                  </w:pPr>
                </w:p>
              </w:tc>
              <w:tc>
                <w:tcPr>
                  <w:tcW w:w="710" w:type="dxa"/>
                  <w:vMerge w:val="continue"/>
                  <w:vAlign w:val="center"/>
                </w:tcPr>
                <w:p>
                  <w:pPr>
                    <w:adjustRightInd w:val="0"/>
                    <w:snapToGrid w:val="0"/>
                    <w:rPr>
                      <w:sz w:val="21"/>
                      <w:szCs w:val="21"/>
                    </w:rPr>
                  </w:pPr>
                </w:p>
              </w:tc>
              <w:tc>
                <w:tcPr>
                  <w:tcW w:w="809" w:type="dxa"/>
                  <w:vMerge w:val="continue"/>
                  <w:vAlign w:val="center"/>
                </w:tcPr>
                <w:p>
                  <w:pPr>
                    <w:adjustRightInd w:val="0"/>
                    <w:snapToGrid w:val="0"/>
                    <w:rPr>
                      <w:sz w:val="21"/>
                      <w:szCs w:val="21"/>
                    </w:rPr>
                  </w:pPr>
                </w:p>
              </w:tc>
              <w:tc>
                <w:tcPr>
                  <w:tcW w:w="837" w:type="dxa"/>
                  <w:vMerge w:val="continue"/>
                  <w:vAlign w:val="center"/>
                </w:tcPr>
                <w:p>
                  <w:pPr>
                    <w:adjustRightInd w:val="0"/>
                    <w:snapToGrid w:val="0"/>
                    <w:rPr>
                      <w:sz w:val="21"/>
                      <w:szCs w:val="21"/>
                    </w:rPr>
                  </w:pPr>
                </w:p>
              </w:tc>
              <w:tc>
                <w:tcPr>
                  <w:tcW w:w="912" w:type="dxa"/>
                  <w:vMerge w:val="continue"/>
                  <w:vAlign w:val="center"/>
                </w:tcPr>
                <w:p>
                  <w:pPr>
                    <w:adjustRightInd w:val="0"/>
                    <w:snapToGrid w:val="0"/>
                    <w:rPr>
                      <w:sz w:val="21"/>
                      <w:szCs w:val="21"/>
                    </w:rPr>
                  </w:pPr>
                </w:p>
              </w:tc>
              <w:tc>
                <w:tcPr>
                  <w:tcW w:w="741" w:type="dxa"/>
                  <w:vMerge w:val="continue"/>
                  <w:vAlign w:val="center"/>
                </w:tcPr>
                <w:p>
                  <w:pPr>
                    <w:adjustRightInd w:val="0"/>
                    <w:snapToGrid w:val="0"/>
                    <w:rPr>
                      <w:sz w:val="21"/>
                      <w:szCs w:val="21"/>
                    </w:rPr>
                  </w:pPr>
                </w:p>
              </w:tc>
              <w:tc>
                <w:tcPr>
                  <w:tcW w:w="676" w:type="dxa"/>
                  <w:vMerge w:val="continue"/>
                  <w:vAlign w:val="top"/>
                </w:tcPr>
                <w:p>
                  <w:pPr>
                    <w:adjustRightInd w:val="0"/>
                    <w:snapToGrid w:val="0"/>
                    <w:jc w:val="center"/>
                    <w:rPr>
                      <w:snapToGrid w:val="0"/>
                      <w:kern w:val="20"/>
                      <w:sz w:val="21"/>
                      <w:szCs w:val="21"/>
                    </w:rPr>
                  </w:pPr>
                </w:p>
              </w:tc>
              <w:tc>
                <w:tcPr>
                  <w:tcW w:w="927" w:type="dxa"/>
                  <w:vMerge w:val="continue"/>
                  <w:vAlign w:val="center"/>
                </w:tcPr>
                <w:p>
                  <w:pPr>
                    <w:adjustRightInd w:val="0"/>
                    <w:snapToGrid w:val="0"/>
                    <w:rPr>
                      <w:sz w:val="21"/>
                      <w:szCs w:val="21"/>
                    </w:rPr>
                  </w:pPr>
                </w:p>
              </w:tc>
            </w:tr>
          </w:tbl>
          <w:p>
            <w:pPr>
              <w:spacing w:line="480" w:lineRule="exact"/>
              <w:ind w:firstLine="482" w:firstLineChars="200"/>
              <w:jc w:val="center"/>
              <w:rPr>
                <w:rFonts w:hint="eastAsia"/>
                <w:b/>
                <w:sz w:val="24"/>
                <w:szCs w:val="24"/>
              </w:rPr>
            </w:pPr>
          </w:p>
          <w:p>
            <w:pPr>
              <w:spacing w:line="480" w:lineRule="exact"/>
              <w:ind w:firstLine="482" w:firstLineChars="200"/>
              <w:jc w:val="center"/>
              <w:rPr>
                <w:rFonts w:hint="eastAsia"/>
                <w:b/>
                <w:sz w:val="24"/>
                <w:szCs w:val="24"/>
              </w:rPr>
            </w:pPr>
          </w:p>
          <w:p>
            <w:pPr>
              <w:spacing w:line="480" w:lineRule="exact"/>
              <w:ind w:firstLine="482" w:firstLineChars="200"/>
              <w:jc w:val="center"/>
              <w:rPr>
                <w:rFonts w:hint="eastAsia"/>
                <w:b/>
                <w:sz w:val="24"/>
                <w:szCs w:val="24"/>
              </w:rPr>
            </w:pPr>
          </w:p>
          <w:p>
            <w:pPr>
              <w:spacing w:line="480" w:lineRule="exact"/>
              <w:ind w:firstLine="482" w:firstLineChars="200"/>
              <w:jc w:val="center"/>
              <w:rPr>
                <w:rFonts w:cs="Times New Roman"/>
                <w:sz w:val="24"/>
                <w:szCs w:val="24"/>
              </w:rPr>
            </w:pPr>
            <w:r>
              <w:rPr>
                <w:rFonts w:hint="eastAsia"/>
                <w:b/>
                <w:sz w:val="24"/>
                <w:szCs w:val="24"/>
              </w:rPr>
              <w:t>表7-2</w:t>
            </w:r>
            <w:r>
              <w:rPr>
                <w:b/>
                <w:sz w:val="24"/>
                <w:szCs w:val="24"/>
              </w:rPr>
              <w:t xml:space="preserve"> 废水</w:t>
            </w:r>
            <w:r>
              <w:rPr>
                <w:rFonts w:hint="eastAsia"/>
                <w:b/>
                <w:sz w:val="24"/>
                <w:szCs w:val="24"/>
              </w:rPr>
              <w:t>间接</w:t>
            </w:r>
            <w:r>
              <w:rPr>
                <w:b/>
                <w:sz w:val="24"/>
                <w:szCs w:val="24"/>
              </w:rPr>
              <w:t>排放口基本情况表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41"/>
              <w:gridCol w:w="951"/>
              <w:gridCol w:w="951"/>
              <w:gridCol w:w="903"/>
              <w:gridCol w:w="666"/>
              <w:gridCol w:w="636"/>
              <w:gridCol w:w="825"/>
              <w:gridCol w:w="551"/>
              <w:gridCol w:w="69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blHeader/>
                <w:jc w:val="center"/>
              </w:trPr>
              <w:tc>
                <w:tcPr>
                  <w:tcW w:w="427" w:type="dxa"/>
                  <w:vMerge w:val="restart"/>
                  <w:vAlign w:val="center"/>
                </w:tcPr>
                <w:p>
                  <w:pPr>
                    <w:adjustRightInd w:val="0"/>
                    <w:snapToGrid w:val="0"/>
                    <w:jc w:val="center"/>
                    <w:rPr>
                      <w:b/>
                      <w:sz w:val="21"/>
                      <w:szCs w:val="21"/>
                    </w:rPr>
                  </w:pPr>
                  <w:r>
                    <w:rPr>
                      <w:rFonts w:hint="eastAsia"/>
                      <w:b/>
                      <w:sz w:val="21"/>
                      <w:szCs w:val="21"/>
                    </w:rPr>
                    <w:t>序号</w:t>
                  </w:r>
                </w:p>
              </w:tc>
              <w:tc>
                <w:tcPr>
                  <w:tcW w:w="741" w:type="dxa"/>
                  <w:vMerge w:val="restart"/>
                  <w:vAlign w:val="center"/>
                </w:tcPr>
                <w:p>
                  <w:pPr>
                    <w:adjustRightInd w:val="0"/>
                    <w:snapToGrid w:val="0"/>
                    <w:jc w:val="center"/>
                    <w:rPr>
                      <w:b/>
                      <w:sz w:val="21"/>
                      <w:szCs w:val="21"/>
                    </w:rPr>
                  </w:pPr>
                  <w:r>
                    <w:rPr>
                      <w:rFonts w:hint="eastAsia"/>
                      <w:b/>
                      <w:sz w:val="21"/>
                      <w:szCs w:val="21"/>
                    </w:rPr>
                    <w:t>排放口</w:t>
                  </w:r>
                </w:p>
                <w:p>
                  <w:pPr>
                    <w:adjustRightInd w:val="0"/>
                    <w:snapToGrid w:val="0"/>
                    <w:jc w:val="center"/>
                    <w:rPr>
                      <w:b/>
                      <w:sz w:val="21"/>
                      <w:szCs w:val="21"/>
                    </w:rPr>
                  </w:pPr>
                  <w:r>
                    <w:rPr>
                      <w:rFonts w:hint="eastAsia"/>
                      <w:b/>
                      <w:sz w:val="21"/>
                      <w:szCs w:val="21"/>
                    </w:rPr>
                    <w:t>编号</w:t>
                  </w:r>
                </w:p>
              </w:tc>
              <w:tc>
                <w:tcPr>
                  <w:tcW w:w="1902" w:type="dxa"/>
                  <w:gridSpan w:val="2"/>
                  <w:vAlign w:val="center"/>
                </w:tcPr>
                <w:p>
                  <w:pPr>
                    <w:adjustRightInd w:val="0"/>
                    <w:snapToGrid w:val="0"/>
                    <w:jc w:val="center"/>
                    <w:rPr>
                      <w:b/>
                      <w:sz w:val="21"/>
                      <w:szCs w:val="21"/>
                    </w:rPr>
                  </w:pPr>
                  <w:r>
                    <w:rPr>
                      <w:rFonts w:hint="eastAsia"/>
                      <w:b/>
                      <w:sz w:val="21"/>
                      <w:szCs w:val="21"/>
                    </w:rPr>
                    <w:t>排放口地理坐标</w:t>
                  </w:r>
                </w:p>
              </w:tc>
              <w:tc>
                <w:tcPr>
                  <w:tcW w:w="903" w:type="dxa"/>
                  <w:vMerge w:val="restart"/>
                  <w:vAlign w:val="center"/>
                </w:tcPr>
                <w:p>
                  <w:pPr>
                    <w:adjustRightInd w:val="0"/>
                    <w:snapToGrid w:val="0"/>
                    <w:jc w:val="center"/>
                    <w:rPr>
                      <w:b/>
                      <w:sz w:val="21"/>
                      <w:szCs w:val="21"/>
                    </w:rPr>
                  </w:pPr>
                  <w:r>
                    <w:rPr>
                      <w:rFonts w:hint="eastAsia"/>
                      <w:b/>
                      <w:sz w:val="21"/>
                      <w:szCs w:val="21"/>
                    </w:rPr>
                    <w:t>废水排放量/</w:t>
                  </w:r>
                </w:p>
                <w:p>
                  <w:pPr>
                    <w:adjustRightInd w:val="0"/>
                    <w:snapToGrid w:val="0"/>
                    <w:jc w:val="center"/>
                    <w:rPr>
                      <w:b/>
                      <w:sz w:val="21"/>
                      <w:szCs w:val="21"/>
                    </w:rPr>
                  </w:pPr>
                  <w:r>
                    <w:rPr>
                      <w:rFonts w:hint="eastAsia"/>
                      <w:b/>
                      <w:sz w:val="21"/>
                      <w:szCs w:val="21"/>
                    </w:rPr>
                    <w:t>（万t/a）</w:t>
                  </w:r>
                </w:p>
              </w:tc>
              <w:tc>
                <w:tcPr>
                  <w:tcW w:w="666" w:type="dxa"/>
                  <w:vMerge w:val="restart"/>
                  <w:vAlign w:val="center"/>
                </w:tcPr>
                <w:p>
                  <w:pPr>
                    <w:adjustRightInd w:val="0"/>
                    <w:snapToGrid w:val="0"/>
                    <w:jc w:val="center"/>
                    <w:rPr>
                      <w:b/>
                      <w:sz w:val="21"/>
                      <w:szCs w:val="21"/>
                    </w:rPr>
                  </w:pPr>
                  <w:r>
                    <w:rPr>
                      <w:rFonts w:hint="eastAsia"/>
                      <w:b/>
                      <w:sz w:val="21"/>
                      <w:szCs w:val="21"/>
                    </w:rPr>
                    <w:t>排放</w:t>
                  </w:r>
                </w:p>
                <w:p>
                  <w:pPr>
                    <w:adjustRightInd w:val="0"/>
                    <w:snapToGrid w:val="0"/>
                    <w:jc w:val="center"/>
                    <w:rPr>
                      <w:b/>
                      <w:sz w:val="21"/>
                      <w:szCs w:val="21"/>
                    </w:rPr>
                  </w:pPr>
                  <w:r>
                    <w:rPr>
                      <w:rFonts w:hint="eastAsia"/>
                      <w:b/>
                      <w:sz w:val="21"/>
                      <w:szCs w:val="21"/>
                    </w:rPr>
                    <w:t>去向</w:t>
                  </w:r>
                </w:p>
              </w:tc>
              <w:tc>
                <w:tcPr>
                  <w:tcW w:w="636" w:type="dxa"/>
                  <w:vMerge w:val="restart"/>
                  <w:vAlign w:val="center"/>
                </w:tcPr>
                <w:p>
                  <w:pPr>
                    <w:adjustRightInd w:val="0"/>
                    <w:snapToGrid w:val="0"/>
                    <w:jc w:val="center"/>
                    <w:rPr>
                      <w:b/>
                      <w:sz w:val="21"/>
                      <w:szCs w:val="21"/>
                    </w:rPr>
                  </w:pPr>
                  <w:r>
                    <w:rPr>
                      <w:rFonts w:hint="eastAsia"/>
                      <w:b/>
                      <w:sz w:val="21"/>
                      <w:szCs w:val="21"/>
                    </w:rPr>
                    <w:t>排放</w:t>
                  </w:r>
                </w:p>
                <w:p>
                  <w:pPr>
                    <w:adjustRightInd w:val="0"/>
                    <w:snapToGrid w:val="0"/>
                    <w:jc w:val="center"/>
                    <w:rPr>
                      <w:b/>
                      <w:sz w:val="21"/>
                      <w:szCs w:val="21"/>
                    </w:rPr>
                  </w:pPr>
                  <w:r>
                    <w:rPr>
                      <w:rFonts w:hint="eastAsia"/>
                      <w:b/>
                      <w:sz w:val="21"/>
                      <w:szCs w:val="21"/>
                    </w:rPr>
                    <w:t>规律</w:t>
                  </w:r>
                </w:p>
              </w:tc>
              <w:tc>
                <w:tcPr>
                  <w:tcW w:w="825" w:type="dxa"/>
                  <w:vMerge w:val="restart"/>
                  <w:vAlign w:val="center"/>
                </w:tcPr>
                <w:p>
                  <w:pPr>
                    <w:adjustRightInd w:val="0"/>
                    <w:snapToGrid w:val="0"/>
                    <w:jc w:val="center"/>
                    <w:rPr>
                      <w:b/>
                      <w:sz w:val="21"/>
                      <w:szCs w:val="21"/>
                    </w:rPr>
                  </w:pPr>
                  <w:r>
                    <w:rPr>
                      <w:rFonts w:hint="eastAsia"/>
                      <w:b/>
                      <w:sz w:val="21"/>
                      <w:szCs w:val="21"/>
                    </w:rPr>
                    <w:t>间歇排放</w:t>
                  </w:r>
                </w:p>
                <w:p>
                  <w:pPr>
                    <w:adjustRightInd w:val="0"/>
                    <w:snapToGrid w:val="0"/>
                    <w:jc w:val="center"/>
                    <w:rPr>
                      <w:b/>
                      <w:sz w:val="21"/>
                      <w:szCs w:val="21"/>
                    </w:rPr>
                  </w:pPr>
                  <w:r>
                    <w:rPr>
                      <w:rFonts w:hint="eastAsia"/>
                      <w:b/>
                      <w:sz w:val="21"/>
                      <w:szCs w:val="21"/>
                    </w:rPr>
                    <w:t>时段</w:t>
                  </w:r>
                </w:p>
              </w:tc>
              <w:tc>
                <w:tcPr>
                  <w:tcW w:w="2202" w:type="dxa"/>
                  <w:gridSpan w:val="3"/>
                  <w:vAlign w:val="center"/>
                </w:tcPr>
                <w:p>
                  <w:pPr>
                    <w:adjustRightInd w:val="0"/>
                    <w:snapToGrid w:val="0"/>
                    <w:jc w:val="center"/>
                    <w:rPr>
                      <w:b/>
                      <w:sz w:val="21"/>
                      <w:szCs w:val="21"/>
                    </w:rPr>
                  </w:pPr>
                  <w:r>
                    <w:rPr>
                      <w:rFonts w:hint="eastAsia"/>
                      <w:b/>
                      <w:sz w:val="21"/>
                      <w:szCs w:val="21"/>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427" w:type="dxa"/>
                  <w:vMerge w:val="continue"/>
                  <w:vAlign w:val="center"/>
                </w:tcPr>
                <w:p>
                  <w:pPr>
                    <w:adjustRightInd w:val="0"/>
                    <w:snapToGrid w:val="0"/>
                    <w:jc w:val="center"/>
                    <w:rPr>
                      <w:b/>
                      <w:sz w:val="21"/>
                      <w:szCs w:val="21"/>
                    </w:rPr>
                  </w:pPr>
                </w:p>
              </w:tc>
              <w:tc>
                <w:tcPr>
                  <w:tcW w:w="741" w:type="dxa"/>
                  <w:vMerge w:val="continue"/>
                  <w:vAlign w:val="center"/>
                </w:tcPr>
                <w:p>
                  <w:pPr>
                    <w:adjustRightInd w:val="0"/>
                    <w:snapToGrid w:val="0"/>
                    <w:jc w:val="center"/>
                    <w:rPr>
                      <w:b/>
                      <w:sz w:val="21"/>
                      <w:szCs w:val="21"/>
                    </w:rPr>
                  </w:pPr>
                </w:p>
              </w:tc>
              <w:tc>
                <w:tcPr>
                  <w:tcW w:w="951" w:type="dxa"/>
                  <w:vAlign w:val="center"/>
                </w:tcPr>
                <w:p>
                  <w:pPr>
                    <w:adjustRightInd w:val="0"/>
                    <w:snapToGrid w:val="0"/>
                    <w:jc w:val="center"/>
                    <w:rPr>
                      <w:b/>
                      <w:sz w:val="21"/>
                      <w:szCs w:val="21"/>
                    </w:rPr>
                  </w:pPr>
                  <w:r>
                    <w:rPr>
                      <w:rFonts w:hint="eastAsia"/>
                      <w:b/>
                      <w:sz w:val="21"/>
                      <w:szCs w:val="21"/>
                    </w:rPr>
                    <w:t>经度</w:t>
                  </w:r>
                </w:p>
              </w:tc>
              <w:tc>
                <w:tcPr>
                  <w:tcW w:w="951" w:type="dxa"/>
                  <w:vAlign w:val="center"/>
                </w:tcPr>
                <w:p>
                  <w:pPr>
                    <w:adjustRightInd w:val="0"/>
                    <w:snapToGrid w:val="0"/>
                    <w:jc w:val="center"/>
                    <w:rPr>
                      <w:b/>
                      <w:sz w:val="21"/>
                      <w:szCs w:val="21"/>
                    </w:rPr>
                  </w:pPr>
                  <w:r>
                    <w:rPr>
                      <w:rFonts w:hint="eastAsia"/>
                      <w:b/>
                      <w:sz w:val="21"/>
                      <w:szCs w:val="21"/>
                    </w:rPr>
                    <w:t>纬度</w:t>
                  </w:r>
                </w:p>
              </w:tc>
              <w:tc>
                <w:tcPr>
                  <w:tcW w:w="903" w:type="dxa"/>
                  <w:vMerge w:val="continue"/>
                  <w:vAlign w:val="center"/>
                </w:tcPr>
                <w:p>
                  <w:pPr>
                    <w:adjustRightInd w:val="0"/>
                    <w:snapToGrid w:val="0"/>
                    <w:jc w:val="center"/>
                    <w:rPr>
                      <w:b/>
                      <w:sz w:val="21"/>
                      <w:szCs w:val="21"/>
                    </w:rPr>
                  </w:pPr>
                </w:p>
              </w:tc>
              <w:tc>
                <w:tcPr>
                  <w:tcW w:w="666" w:type="dxa"/>
                  <w:vMerge w:val="continue"/>
                  <w:vAlign w:val="center"/>
                </w:tcPr>
                <w:p>
                  <w:pPr>
                    <w:adjustRightInd w:val="0"/>
                    <w:snapToGrid w:val="0"/>
                    <w:jc w:val="center"/>
                    <w:rPr>
                      <w:b/>
                      <w:sz w:val="21"/>
                      <w:szCs w:val="21"/>
                    </w:rPr>
                  </w:pPr>
                </w:p>
              </w:tc>
              <w:tc>
                <w:tcPr>
                  <w:tcW w:w="636" w:type="dxa"/>
                  <w:vMerge w:val="continue"/>
                  <w:vAlign w:val="center"/>
                </w:tcPr>
                <w:p>
                  <w:pPr>
                    <w:adjustRightInd w:val="0"/>
                    <w:snapToGrid w:val="0"/>
                    <w:jc w:val="center"/>
                    <w:rPr>
                      <w:b/>
                      <w:sz w:val="21"/>
                      <w:szCs w:val="21"/>
                    </w:rPr>
                  </w:pPr>
                </w:p>
              </w:tc>
              <w:tc>
                <w:tcPr>
                  <w:tcW w:w="825" w:type="dxa"/>
                  <w:vMerge w:val="continue"/>
                  <w:vAlign w:val="center"/>
                </w:tcPr>
                <w:p>
                  <w:pPr>
                    <w:adjustRightInd w:val="0"/>
                    <w:snapToGrid w:val="0"/>
                    <w:jc w:val="center"/>
                    <w:rPr>
                      <w:b/>
                      <w:sz w:val="21"/>
                      <w:szCs w:val="21"/>
                    </w:rPr>
                  </w:pPr>
                </w:p>
              </w:tc>
              <w:tc>
                <w:tcPr>
                  <w:tcW w:w="551" w:type="dxa"/>
                  <w:vAlign w:val="center"/>
                </w:tcPr>
                <w:p>
                  <w:pPr>
                    <w:adjustRightInd w:val="0"/>
                    <w:snapToGrid w:val="0"/>
                    <w:jc w:val="center"/>
                    <w:rPr>
                      <w:b/>
                      <w:sz w:val="21"/>
                      <w:szCs w:val="21"/>
                    </w:rPr>
                  </w:pPr>
                  <w:r>
                    <w:rPr>
                      <w:rFonts w:hint="eastAsia"/>
                      <w:b/>
                      <w:sz w:val="21"/>
                      <w:szCs w:val="21"/>
                    </w:rPr>
                    <w:t>名称</w:t>
                  </w:r>
                </w:p>
              </w:tc>
              <w:tc>
                <w:tcPr>
                  <w:tcW w:w="691" w:type="dxa"/>
                  <w:vAlign w:val="center"/>
                </w:tcPr>
                <w:p>
                  <w:pPr>
                    <w:adjustRightInd w:val="0"/>
                    <w:snapToGrid w:val="0"/>
                    <w:jc w:val="center"/>
                    <w:rPr>
                      <w:b/>
                      <w:sz w:val="21"/>
                      <w:szCs w:val="21"/>
                    </w:rPr>
                  </w:pPr>
                  <w:r>
                    <w:rPr>
                      <w:rFonts w:hint="eastAsia"/>
                      <w:b/>
                      <w:sz w:val="21"/>
                      <w:szCs w:val="21"/>
                    </w:rPr>
                    <w:t>污染物种类</w:t>
                  </w:r>
                </w:p>
              </w:tc>
              <w:tc>
                <w:tcPr>
                  <w:tcW w:w="960" w:type="dxa"/>
                  <w:vAlign w:val="center"/>
                </w:tcPr>
                <w:p>
                  <w:pPr>
                    <w:adjustRightInd w:val="0"/>
                    <w:snapToGrid w:val="0"/>
                    <w:jc w:val="center"/>
                    <w:rPr>
                      <w:b/>
                      <w:sz w:val="21"/>
                      <w:szCs w:val="21"/>
                    </w:rPr>
                  </w:pPr>
                  <w:r>
                    <w:rPr>
                      <w:rFonts w:hint="eastAsia"/>
                      <w:b/>
                      <w:sz w:val="21"/>
                      <w:szCs w:val="21"/>
                    </w:rPr>
                    <w:t>国家或地方污染物排放</w:t>
                  </w:r>
                </w:p>
                <w:p>
                  <w:pPr>
                    <w:adjustRightInd w:val="0"/>
                    <w:snapToGrid w:val="0"/>
                    <w:jc w:val="center"/>
                    <w:rPr>
                      <w:b/>
                      <w:sz w:val="21"/>
                      <w:szCs w:val="21"/>
                    </w:rPr>
                  </w:pPr>
                  <w:r>
                    <w:rPr>
                      <w:rFonts w:hint="eastAsia"/>
                      <w:b/>
                      <w:sz w:val="21"/>
                      <w:szCs w:val="21"/>
                    </w:rPr>
                    <w:t>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sz w:val="21"/>
                      <w:szCs w:val="21"/>
                    </w:rPr>
                  </w:pPr>
                  <w:r>
                    <w:rPr>
                      <w:rFonts w:hint="eastAsia"/>
                      <w:sz w:val="21"/>
                      <w:szCs w:val="21"/>
                    </w:rPr>
                    <w:t>1</w:t>
                  </w:r>
                </w:p>
              </w:tc>
              <w:tc>
                <w:tcPr>
                  <w:tcW w:w="741" w:type="dxa"/>
                  <w:vMerge w:val="restart"/>
                  <w:vAlign w:val="center"/>
                </w:tcPr>
                <w:p>
                  <w:pPr>
                    <w:adjustRightInd w:val="0"/>
                    <w:snapToGrid w:val="0"/>
                    <w:jc w:val="center"/>
                    <w:rPr>
                      <w:sz w:val="21"/>
                      <w:szCs w:val="21"/>
                    </w:rPr>
                  </w:pPr>
                  <w:r>
                    <w:rPr>
                      <w:rFonts w:hint="eastAsia"/>
                      <w:sz w:val="21"/>
                      <w:szCs w:val="21"/>
                    </w:rPr>
                    <w:t>D</w:t>
                  </w:r>
                  <w:r>
                    <w:rPr>
                      <w:sz w:val="21"/>
                      <w:szCs w:val="21"/>
                    </w:rPr>
                    <w:t>W</w:t>
                  </w:r>
                  <w:r>
                    <w:rPr>
                      <w:rFonts w:hint="eastAsia"/>
                      <w:sz w:val="21"/>
                      <w:szCs w:val="21"/>
                    </w:rPr>
                    <w:t>001</w:t>
                  </w:r>
                </w:p>
              </w:tc>
              <w:tc>
                <w:tcPr>
                  <w:tcW w:w="951" w:type="dxa"/>
                  <w:vMerge w:val="restart"/>
                  <w:vAlign w:val="center"/>
                </w:tcPr>
                <w:p>
                  <w:pPr>
                    <w:adjustRightInd w:val="0"/>
                    <w:snapToGrid w:val="0"/>
                    <w:jc w:val="center"/>
                    <w:rPr>
                      <w:sz w:val="21"/>
                      <w:szCs w:val="21"/>
                    </w:rPr>
                  </w:pPr>
                  <w:r>
                    <w:rPr>
                      <w:rFonts w:hint="eastAsia"/>
                      <w:sz w:val="21"/>
                      <w:szCs w:val="21"/>
                    </w:rPr>
                    <w:t>1</w:t>
                  </w:r>
                  <w:r>
                    <w:rPr>
                      <w:rFonts w:hint="eastAsia"/>
                      <w:sz w:val="21"/>
                      <w:szCs w:val="21"/>
                      <w:lang w:val="en-US" w:eastAsia="zh-CN"/>
                    </w:rPr>
                    <w:t>19.844232°</w:t>
                  </w:r>
                </w:p>
              </w:tc>
              <w:tc>
                <w:tcPr>
                  <w:tcW w:w="951" w:type="dxa"/>
                  <w:vMerge w:val="restart"/>
                  <w:vAlign w:val="center"/>
                </w:tcPr>
                <w:p>
                  <w:pPr>
                    <w:adjustRightInd w:val="0"/>
                    <w:snapToGrid w:val="0"/>
                    <w:jc w:val="center"/>
                    <w:rPr>
                      <w:sz w:val="21"/>
                      <w:szCs w:val="21"/>
                    </w:rPr>
                  </w:pPr>
                  <w:r>
                    <w:rPr>
                      <w:rFonts w:hint="eastAsia"/>
                      <w:sz w:val="21"/>
                      <w:szCs w:val="21"/>
                    </w:rPr>
                    <w:t>31</w:t>
                  </w:r>
                  <w:r>
                    <w:rPr>
                      <w:rFonts w:hint="eastAsia"/>
                      <w:sz w:val="21"/>
                      <w:szCs w:val="21"/>
                      <w:lang w:val="en-US" w:eastAsia="zh-CN"/>
                    </w:rPr>
                    <w:t>.725715°</w:t>
                  </w:r>
                </w:p>
              </w:tc>
              <w:tc>
                <w:tcPr>
                  <w:tcW w:w="903" w:type="dxa"/>
                  <w:vMerge w:val="restart"/>
                  <w:vAlign w:val="center"/>
                </w:tcPr>
                <w:p>
                  <w:pPr>
                    <w:adjustRightInd w:val="0"/>
                    <w:snapToGrid w:val="0"/>
                    <w:jc w:val="center"/>
                    <w:rPr>
                      <w:rFonts w:hint="default" w:eastAsiaTheme="minorEastAsia"/>
                      <w:sz w:val="21"/>
                      <w:szCs w:val="21"/>
                      <w:lang w:val="en-US" w:eastAsia="zh-CN"/>
                    </w:rPr>
                  </w:pPr>
                  <w:r>
                    <w:rPr>
                      <w:rFonts w:hint="eastAsia"/>
                      <w:sz w:val="21"/>
                      <w:szCs w:val="21"/>
                    </w:rPr>
                    <w:t>0.</w:t>
                  </w:r>
                  <w:r>
                    <w:rPr>
                      <w:rFonts w:hint="eastAsia"/>
                      <w:sz w:val="21"/>
                      <w:szCs w:val="21"/>
                      <w:lang w:val="en-US" w:eastAsia="zh-CN"/>
                    </w:rPr>
                    <w:t>024</w:t>
                  </w:r>
                </w:p>
              </w:tc>
              <w:tc>
                <w:tcPr>
                  <w:tcW w:w="666" w:type="dxa"/>
                  <w:vMerge w:val="restart"/>
                  <w:vAlign w:val="center"/>
                </w:tcPr>
                <w:p>
                  <w:pPr>
                    <w:adjustRightInd w:val="0"/>
                    <w:snapToGrid w:val="0"/>
                    <w:jc w:val="center"/>
                    <w:rPr>
                      <w:sz w:val="21"/>
                      <w:szCs w:val="21"/>
                    </w:rPr>
                  </w:pPr>
                  <w:r>
                    <w:rPr>
                      <w:rFonts w:hint="eastAsia"/>
                      <w:sz w:val="21"/>
                      <w:szCs w:val="21"/>
                    </w:rPr>
                    <w:t>进入城市污水处理厂</w:t>
                  </w:r>
                </w:p>
              </w:tc>
              <w:tc>
                <w:tcPr>
                  <w:tcW w:w="636" w:type="dxa"/>
                  <w:vMerge w:val="restart"/>
                  <w:vAlign w:val="center"/>
                </w:tcPr>
                <w:p>
                  <w:pPr>
                    <w:adjustRightInd w:val="0"/>
                    <w:snapToGrid w:val="0"/>
                    <w:jc w:val="center"/>
                    <w:rPr>
                      <w:sz w:val="21"/>
                      <w:szCs w:val="21"/>
                    </w:rPr>
                  </w:pPr>
                  <w:r>
                    <w:rPr>
                      <w:rFonts w:hint="eastAsia"/>
                      <w:sz w:val="21"/>
                      <w:szCs w:val="21"/>
                    </w:rPr>
                    <w:t>间断排放，排放期间流量不稳定，但有周期性规律</w:t>
                  </w:r>
                </w:p>
              </w:tc>
              <w:tc>
                <w:tcPr>
                  <w:tcW w:w="825" w:type="dxa"/>
                  <w:vMerge w:val="restart"/>
                  <w:vAlign w:val="center"/>
                </w:tcPr>
                <w:p>
                  <w:pPr>
                    <w:adjustRightInd w:val="0"/>
                    <w:snapToGrid w:val="0"/>
                    <w:jc w:val="center"/>
                    <w:rPr>
                      <w:sz w:val="21"/>
                      <w:szCs w:val="21"/>
                    </w:rPr>
                  </w:pPr>
                  <w:r>
                    <w:rPr>
                      <w:rFonts w:hint="eastAsia"/>
                      <w:sz w:val="21"/>
                      <w:szCs w:val="21"/>
                      <w:lang w:val="en-US" w:eastAsia="zh-CN"/>
                    </w:rPr>
                    <w:t>6</w:t>
                  </w:r>
                  <w:r>
                    <w:rPr>
                      <w:rFonts w:hint="eastAsia"/>
                      <w:sz w:val="21"/>
                      <w:szCs w:val="21"/>
                    </w:rPr>
                    <w:t>：00-</w:t>
                  </w:r>
                </w:p>
                <w:p>
                  <w:pPr>
                    <w:adjustRightInd w:val="0"/>
                    <w:snapToGrid w:val="0"/>
                    <w:jc w:val="center"/>
                    <w:rPr>
                      <w:sz w:val="21"/>
                      <w:szCs w:val="21"/>
                    </w:rPr>
                  </w:pPr>
                  <w:r>
                    <w:rPr>
                      <w:rFonts w:hint="eastAsia"/>
                      <w:sz w:val="21"/>
                      <w:szCs w:val="21"/>
                      <w:lang w:val="en-US" w:eastAsia="zh-CN"/>
                    </w:rPr>
                    <w:t>22</w:t>
                  </w:r>
                  <w:r>
                    <w:rPr>
                      <w:rFonts w:hint="eastAsia"/>
                      <w:sz w:val="21"/>
                      <w:szCs w:val="21"/>
                    </w:rPr>
                    <w:t>：00</w:t>
                  </w:r>
                </w:p>
              </w:tc>
              <w:tc>
                <w:tcPr>
                  <w:tcW w:w="551" w:type="dxa"/>
                  <w:vMerge w:val="restart"/>
                  <w:vAlign w:val="center"/>
                </w:tcPr>
                <w:p>
                  <w:pPr>
                    <w:adjustRightInd w:val="0"/>
                    <w:snapToGrid w:val="0"/>
                    <w:jc w:val="center"/>
                    <w:rPr>
                      <w:rFonts w:hint="default" w:eastAsiaTheme="minorEastAsia"/>
                      <w:sz w:val="21"/>
                      <w:szCs w:val="21"/>
                      <w:lang w:val="en-US" w:eastAsia="zh-CN"/>
                    </w:rPr>
                  </w:pPr>
                  <w:r>
                    <w:rPr>
                      <w:rFonts w:hint="eastAsia" w:ascii="Times New Roman" w:hAnsi="Times New Roman" w:cs="Times New Roman"/>
                      <w:sz w:val="21"/>
                      <w:szCs w:val="21"/>
                      <w:lang w:val="en-US" w:eastAsia="zh-CN"/>
                    </w:rPr>
                    <w:t>武进城区污水处理厂</w:t>
                  </w:r>
                </w:p>
              </w:tc>
              <w:tc>
                <w:tcPr>
                  <w:tcW w:w="691" w:type="dxa"/>
                  <w:vAlign w:val="center"/>
                </w:tcPr>
                <w:p>
                  <w:pPr>
                    <w:adjustRightInd w:val="0"/>
                    <w:snapToGrid w:val="0"/>
                    <w:jc w:val="center"/>
                    <w:rPr>
                      <w:sz w:val="21"/>
                      <w:szCs w:val="21"/>
                    </w:rPr>
                  </w:pPr>
                  <w:r>
                    <w:rPr>
                      <w:rFonts w:hint="eastAsia"/>
                      <w:sz w:val="21"/>
                      <w:szCs w:val="21"/>
                    </w:rPr>
                    <w:t>C</w:t>
                  </w:r>
                  <w:r>
                    <w:rPr>
                      <w:sz w:val="21"/>
                      <w:szCs w:val="21"/>
                    </w:rPr>
                    <w:t>OD</w:t>
                  </w:r>
                </w:p>
              </w:tc>
              <w:tc>
                <w:tcPr>
                  <w:tcW w:w="960" w:type="dxa"/>
                  <w:vAlign w:val="center"/>
                </w:tcPr>
                <w:p>
                  <w:pPr>
                    <w:adjustRightInd w:val="0"/>
                    <w:snapToGrid w:val="0"/>
                    <w:jc w:val="center"/>
                    <w:rPr>
                      <w:sz w:val="21"/>
                      <w:szCs w:val="21"/>
                    </w:rPr>
                  </w:pPr>
                  <w:r>
                    <w:rPr>
                      <w:rFonts w:hint="eastAsia"/>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2</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sz w:val="21"/>
                      <w:szCs w:val="21"/>
                    </w:rPr>
                  </w:pPr>
                  <w:r>
                    <w:rPr>
                      <w:rFonts w:hint="eastAsia"/>
                      <w:sz w:val="21"/>
                      <w:szCs w:val="21"/>
                    </w:rPr>
                    <w:t>S</w:t>
                  </w:r>
                  <w:r>
                    <w:rPr>
                      <w:sz w:val="21"/>
                      <w:szCs w:val="21"/>
                    </w:rPr>
                    <w:t>S</w:t>
                  </w:r>
                </w:p>
              </w:tc>
              <w:tc>
                <w:tcPr>
                  <w:tcW w:w="960" w:type="dxa"/>
                  <w:vAlign w:val="center"/>
                </w:tcPr>
                <w:p>
                  <w:pPr>
                    <w:adjustRightInd w:val="0"/>
                    <w:snapToGrid w:val="0"/>
                    <w:jc w:val="center"/>
                    <w:rPr>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3</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N</w:t>
                  </w:r>
                  <w:r>
                    <w:rPr>
                      <w:sz w:val="21"/>
                      <w:szCs w:val="21"/>
                    </w:rPr>
                    <w:t>H</w:t>
                  </w:r>
                  <w:r>
                    <w:rPr>
                      <w:sz w:val="21"/>
                      <w:szCs w:val="21"/>
                      <w:vertAlign w:val="subscript"/>
                    </w:rPr>
                    <w:t>3</w:t>
                  </w:r>
                  <w:r>
                    <w:rPr>
                      <w:sz w:val="21"/>
                      <w:szCs w:val="21"/>
                    </w:rPr>
                    <w:t>-N</w:t>
                  </w:r>
                </w:p>
              </w:tc>
              <w:tc>
                <w:tcPr>
                  <w:tcW w:w="960" w:type="dxa"/>
                  <w:vAlign w:val="center"/>
                </w:tcPr>
                <w:p>
                  <w:pPr>
                    <w:adjustRightInd w:val="0"/>
                    <w:snapToGrid w:val="0"/>
                    <w:jc w:val="center"/>
                    <w:rPr>
                      <w:sz w:val="21"/>
                      <w:szCs w:val="21"/>
                    </w:rPr>
                  </w:pP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4</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T</w:t>
                  </w:r>
                  <w:r>
                    <w:rPr>
                      <w:sz w:val="21"/>
                      <w:szCs w:val="21"/>
                    </w:rPr>
                    <w:t>P</w:t>
                  </w:r>
                </w:p>
              </w:tc>
              <w:tc>
                <w:tcPr>
                  <w:tcW w:w="960" w:type="dxa"/>
                  <w:vAlign w:val="center"/>
                </w:tcPr>
                <w:p>
                  <w:pPr>
                    <w:adjustRightInd w:val="0"/>
                    <w:snapToGrid w:val="0"/>
                    <w:jc w:val="center"/>
                    <w:rPr>
                      <w:sz w:val="21"/>
                      <w:szCs w:val="21"/>
                    </w:rPr>
                  </w:pPr>
                  <w:r>
                    <w:rPr>
                      <w:rFonts w:hint="eastAsia"/>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5</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T</w:t>
                  </w:r>
                  <w:r>
                    <w:rPr>
                      <w:sz w:val="21"/>
                      <w:szCs w:val="21"/>
                    </w:rPr>
                    <w:t>N</w:t>
                  </w:r>
                </w:p>
              </w:tc>
              <w:tc>
                <w:tcPr>
                  <w:tcW w:w="960" w:type="dxa"/>
                  <w:vAlign w:val="center"/>
                </w:tcPr>
                <w:p>
                  <w:pPr>
                    <w:adjustRightInd w:val="0"/>
                    <w:snapToGrid w:val="0"/>
                    <w:jc w:val="center"/>
                    <w:rPr>
                      <w:sz w:val="21"/>
                      <w:szCs w:val="21"/>
                    </w:rPr>
                  </w:pPr>
                  <w:r>
                    <w:rPr>
                      <w:rFonts w:hint="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6</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动植物油</w:t>
                  </w:r>
                </w:p>
              </w:tc>
              <w:tc>
                <w:tcPr>
                  <w:tcW w:w="960" w:type="dxa"/>
                  <w:vAlign w:val="center"/>
                </w:tcPr>
                <w:p>
                  <w:pPr>
                    <w:adjustRightInd w:val="0"/>
                    <w:snapToGrid w:val="0"/>
                    <w:jc w:val="center"/>
                    <w:rPr>
                      <w:sz w:val="21"/>
                      <w:szCs w:val="21"/>
                    </w:rPr>
                  </w:pPr>
                  <w:r>
                    <w:rPr>
                      <w:rFonts w:hint="eastAsia"/>
                      <w:sz w:val="21"/>
                      <w:szCs w:val="21"/>
                    </w:rPr>
                    <w:t>1</w:t>
                  </w:r>
                </w:p>
              </w:tc>
            </w:tr>
          </w:tbl>
          <w:p>
            <w:pPr>
              <w:spacing w:line="480" w:lineRule="exact"/>
              <w:ind w:firstLine="480" w:firstLineChars="200"/>
              <w:rPr>
                <w:rFonts w:cs="Times New Roman"/>
                <w:sz w:val="24"/>
                <w:szCs w:val="24"/>
              </w:rPr>
            </w:pPr>
            <w:r>
              <w:rPr>
                <w:rFonts w:hint="eastAsia" w:cs="Times New Roman"/>
                <w:sz w:val="24"/>
                <w:szCs w:val="24"/>
              </w:rPr>
              <w:t>（2）污染源排放量核算</w:t>
            </w:r>
          </w:p>
          <w:p>
            <w:pPr>
              <w:spacing w:line="480" w:lineRule="exact"/>
              <w:ind w:firstLine="480" w:firstLineChars="200"/>
              <w:rPr>
                <w:rFonts w:cs="Times New Roman"/>
                <w:sz w:val="24"/>
                <w:szCs w:val="24"/>
              </w:rPr>
            </w:pPr>
            <w:r>
              <w:rPr>
                <w:rFonts w:hint="eastAsia" w:cs="Times New Roman"/>
                <w:sz w:val="24"/>
                <w:szCs w:val="24"/>
              </w:rPr>
              <w:t>本项目废水污染源排放量核算表见下表。</w:t>
            </w:r>
          </w:p>
          <w:p>
            <w:pPr>
              <w:spacing w:line="480" w:lineRule="exact"/>
              <w:ind w:firstLine="482" w:firstLineChars="200"/>
              <w:jc w:val="center"/>
              <w:rPr>
                <w:rFonts w:hint="eastAsia" w:cs="Times New Roman"/>
                <w:sz w:val="24"/>
                <w:szCs w:val="24"/>
              </w:rPr>
            </w:pPr>
            <w:r>
              <w:rPr>
                <w:rFonts w:ascii="Times New Roman" w:hAnsi="Times New Roman" w:cs="Times New Roman"/>
                <w:b/>
                <w:sz w:val="24"/>
                <w:szCs w:val="24"/>
              </w:rPr>
              <w:t>表7-</w:t>
            </w:r>
            <w:r>
              <w:rPr>
                <w:rFonts w:hint="eastAsia" w:ascii="Times New Roman" w:hAnsi="Times New Roman" w:cs="Times New Roman"/>
                <w:b/>
                <w:sz w:val="24"/>
                <w:szCs w:val="24"/>
              </w:rPr>
              <w:t>3</w:t>
            </w:r>
            <w:r>
              <w:rPr>
                <w:rFonts w:ascii="Times New Roman" w:hAnsi="Times New Roman" w:cs="Times New Roman"/>
                <w:b/>
                <w:sz w:val="24"/>
                <w:szCs w:val="24"/>
              </w:rPr>
              <w:t xml:space="preserve"> </w:t>
            </w:r>
            <w:r>
              <w:rPr>
                <w:rFonts w:hint="eastAsia" w:cs="Times New Roman"/>
                <w:b/>
                <w:sz w:val="24"/>
                <w:szCs w:val="24"/>
              </w:rPr>
              <w:t>废水污染源排放量核算表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936"/>
              <w:gridCol w:w="794"/>
              <w:gridCol w:w="1137"/>
              <w:gridCol w:w="1235"/>
              <w:gridCol w:w="1237"/>
              <w:gridCol w:w="1234"/>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495"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序号</w:t>
                  </w:r>
                </w:p>
              </w:tc>
              <w:tc>
                <w:tcPr>
                  <w:tcW w:w="936"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排放口编号</w:t>
                  </w:r>
                </w:p>
              </w:tc>
              <w:tc>
                <w:tcPr>
                  <w:tcW w:w="794"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污染物种类</w:t>
                  </w:r>
                </w:p>
              </w:tc>
              <w:tc>
                <w:tcPr>
                  <w:tcW w:w="1137"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排放浓度/（mg/L）</w:t>
                  </w:r>
                </w:p>
              </w:tc>
              <w:tc>
                <w:tcPr>
                  <w:tcW w:w="1235"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新增日排放量/（t/d）</w:t>
                  </w:r>
                </w:p>
              </w:tc>
              <w:tc>
                <w:tcPr>
                  <w:tcW w:w="1237"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全厂日排放量/（t/d）</w:t>
                  </w:r>
                </w:p>
              </w:tc>
              <w:tc>
                <w:tcPr>
                  <w:tcW w:w="1234"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新增年排放量/（t/a）</w:t>
                  </w:r>
                </w:p>
              </w:tc>
              <w:tc>
                <w:tcPr>
                  <w:tcW w:w="1234"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全厂年排放量/（t/a）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936" w:type="dxa"/>
                  <w:vMerge w:val="restart"/>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DW001</w:t>
                  </w: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350</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0.00028</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0.00028</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936" w:type="dxa"/>
                  <w:vMerge w:val="continue"/>
                  <w:vAlign w:val="center"/>
                </w:tcPr>
                <w:p>
                  <w:pPr>
                    <w:adjustRightInd w:val="0"/>
                    <w:snapToGrid w:val="0"/>
                    <w:jc w:val="center"/>
                    <w:rPr>
                      <w:rFonts w:hint="default" w:ascii="Times New Roman" w:hAnsi="Times New Roman" w:cs="Times New Roman"/>
                      <w:sz w:val="21"/>
                      <w:szCs w:val="21"/>
                    </w:rPr>
                  </w:pP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SS</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250</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0.0002</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936" w:type="dxa"/>
                  <w:vMerge w:val="continue"/>
                  <w:vAlign w:val="center"/>
                </w:tcPr>
                <w:p>
                  <w:pPr>
                    <w:adjustRightInd w:val="0"/>
                    <w:snapToGrid w:val="0"/>
                    <w:jc w:val="center"/>
                    <w:rPr>
                      <w:rFonts w:hint="default" w:ascii="Times New Roman" w:hAnsi="Times New Roman" w:cs="Times New Roman"/>
                      <w:sz w:val="21"/>
                      <w:szCs w:val="21"/>
                    </w:rPr>
                  </w:pP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0.000028</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0.000028</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936" w:type="dxa"/>
                  <w:vMerge w:val="continue"/>
                  <w:vAlign w:val="center"/>
                </w:tcPr>
                <w:p>
                  <w:pPr>
                    <w:adjustRightInd w:val="0"/>
                    <w:snapToGrid w:val="0"/>
                    <w:jc w:val="center"/>
                    <w:rPr>
                      <w:rFonts w:hint="default" w:ascii="Times New Roman" w:hAnsi="Times New Roman" w:cs="Times New Roman"/>
                      <w:sz w:val="21"/>
                      <w:szCs w:val="21"/>
                    </w:rPr>
                  </w:pP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TP</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0.000004</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0.000004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936" w:type="dxa"/>
                  <w:vMerge w:val="continue"/>
                  <w:vAlign w:val="center"/>
                </w:tcPr>
                <w:p>
                  <w:pPr>
                    <w:adjustRightInd w:val="0"/>
                    <w:snapToGrid w:val="0"/>
                    <w:jc w:val="center"/>
                    <w:rPr>
                      <w:rFonts w:hint="default" w:ascii="Times New Roman" w:hAnsi="Times New Roman" w:cs="Times New Roman"/>
                      <w:sz w:val="21"/>
                      <w:szCs w:val="21"/>
                    </w:rPr>
                  </w:pP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TN</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0.00004</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restart"/>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全厂排放口合计</w:t>
                  </w: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continue"/>
                  <w:vAlign w:val="center"/>
                </w:tcPr>
                <w:p>
                  <w:pPr>
                    <w:adjustRightInd w:val="0"/>
                    <w:snapToGrid w:val="0"/>
                    <w:jc w:val="center"/>
                    <w:rPr>
                      <w:rFonts w:hint="default" w:ascii="Times New Roman" w:hAnsi="Times New Roman" w:cs="Times New Roman"/>
                      <w:sz w:val="21"/>
                      <w:szCs w:val="21"/>
                    </w:rPr>
                  </w:pP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SS</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continue"/>
                  <w:vAlign w:val="center"/>
                </w:tcPr>
                <w:p>
                  <w:pPr>
                    <w:adjustRightInd w:val="0"/>
                    <w:snapToGrid w:val="0"/>
                    <w:jc w:val="center"/>
                    <w:rPr>
                      <w:rFonts w:hint="default" w:ascii="Times New Roman" w:hAnsi="Times New Roman" w:cs="Times New Roman"/>
                      <w:sz w:val="21"/>
                      <w:szCs w:val="21"/>
                    </w:rPr>
                  </w:pP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continue"/>
                  <w:vAlign w:val="center"/>
                </w:tcPr>
                <w:p>
                  <w:pPr>
                    <w:adjustRightInd w:val="0"/>
                    <w:snapToGrid w:val="0"/>
                    <w:jc w:val="center"/>
                    <w:rPr>
                      <w:rFonts w:hint="default" w:ascii="Times New Roman" w:hAnsi="Times New Roman" w:cs="Times New Roman"/>
                      <w:sz w:val="21"/>
                      <w:szCs w:val="21"/>
                    </w:rPr>
                  </w:pP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TP</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continue"/>
                  <w:vAlign w:val="center"/>
                </w:tcPr>
                <w:p>
                  <w:pPr>
                    <w:adjustRightInd w:val="0"/>
                    <w:snapToGrid w:val="0"/>
                    <w:jc w:val="center"/>
                    <w:rPr>
                      <w:rFonts w:hint="default" w:ascii="Times New Roman" w:hAnsi="Times New Roman" w:cs="Times New Roman"/>
                      <w:sz w:val="21"/>
                      <w:szCs w:val="21"/>
                    </w:rPr>
                  </w:pP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TN</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r>
          </w:tbl>
          <w:p>
            <w:pPr>
              <w:spacing w:line="480" w:lineRule="exact"/>
              <w:rPr>
                <w:rFonts w:hint="eastAsia" w:ascii="Times New Roman" w:hAnsi="Times New Roman" w:cs="Times New Roman"/>
                <w:b/>
                <w:sz w:val="24"/>
                <w:szCs w:val="24"/>
              </w:rPr>
            </w:pPr>
            <w:r>
              <w:rPr>
                <w:rFonts w:hint="eastAsia" w:ascii="Times New Roman" w:hAnsi="Times New Roman" w:cs="Times New Roman"/>
                <w:b/>
                <w:sz w:val="24"/>
                <w:szCs w:val="24"/>
              </w:rPr>
              <w:t>注：间接排放污染源排放量核算根据依托污水处理设施的控制要求核算确定。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rPr>
            </w:pPr>
            <w:r>
              <w:rPr>
                <w:rFonts w:ascii="Times New Roman" w:hAnsi="Times New Roman" w:cs="Times New Roman"/>
                <w:sz w:val="24"/>
                <w:szCs w:val="24"/>
              </w:rPr>
              <w:t>本项目生产废水经厂内污水处理设施处理后回用，</w:t>
            </w:r>
            <w:r>
              <w:rPr>
                <w:rFonts w:hint="eastAsia" w:ascii="Times New Roman" w:hAnsi="Times New Roman" w:cs="Times New Roman"/>
                <w:sz w:val="24"/>
                <w:szCs w:val="24"/>
              </w:rPr>
              <w:t>定期作为危废委托有资质单位处置</w:t>
            </w:r>
            <w:r>
              <w:rPr>
                <w:rFonts w:ascii="Times New Roman" w:hAnsi="Times New Roman" w:cs="Times New Roman"/>
                <w:sz w:val="24"/>
                <w:szCs w:val="24"/>
              </w:rPr>
              <w:t>，不会对周围水环境造成影响；本项目</w:t>
            </w:r>
            <w:r>
              <w:rPr>
                <w:rFonts w:ascii="Times New Roman" w:hAnsi="Times New Roman" w:cs="Times New Roman"/>
                <w:bCs/>
                <w:sz w:val="24"/>
                <w:szCs w:val="24"/>
              </w:rPr>
              <w:t>生活污水主要污染因子为COD、SS、氨氮、TP</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TN</w:t>
            </w:r>
            <w:r>
              <w:rPr>
                <w:rFonts w:ascii="Times New Roman" w:hAnsi="Times New Roman" w:cs="Times New Roman"/>
                <w:bCs/>
                <w:sz w:val="24"/>
                <w:szCs w:val="24"/>
              </w:rPr>
              <w:t>等常规因子，水质符合</w:t>
            </w:r>
            <w:r>
              <w:rPr>
                <w:rFonts w:hint="eastAsia" w:ascii="Times New Roman" w:hAnsi="Times New Roman" w:cs="Times New Roman"/>
                <w:sz w:val="24"/>
                <w:szCs w:val="24"/>
                <w:lang w:val="en-US" w:eastAsia="zh-CN"/>
              </w:rPr>
              <w:t>武进城区污水处理厂</w:t>
            </w:r>
            <w:r>
              <w:rPr>
                <w:rFonts w:ascii="Times New Roman" w:hAnsi="Times New Roman" w:cs="Times New Roman"/>
                <w:bCs/>
                <w:sz w:val="24"/>
                <w:szCs w:val="24"/>
              </w:rPr>
              <w:t>接管标准，经处理后的尾水排</w:t>
            </w:r>
            <w:r>
              <w:rPr>
                <w:rFonts w:hint="eastAsia" w:ascii="Times New Roman" w:hAnsi="Times New Roman" w:cs="Times New Roman"/>
                <w:bCs/>
                <w:sz w:val="24"/>
                <w:szCs w:val="24"/>
                <w:lang w:val="en-US" w:eastAsia="zh-CN"/>
              </w:rPr>
              <w:t>入采菱港</w:t>
            </w:r>
            <w:r>
              <w:rPr>
                <w:rFonts w:ascii="Times New Roman" w:hAnsi="Times New Roman" w:cs="Times New Roman"/>
                <w:bCs/>
                <w:sz w:val="24"/>
                <w:szCs w:val="24"/>
              </w:rPr>
              <w:t>，根据</w:t>
            </w:r>
            <w:r>
              <w:rPr>
                <w:rFonts w:hint="eastAsia" w:ascii="Times New Roman" w:hAnsi="Times New Roman" w:cs="Times New Roman"/>
                <w:bCs/>
                <w:sz w:val="24"/>
                <w:szCs w:val="24"/>
              </w:rPr>
              <w:t>目前</w:t>
            </w:r>
            <w:r>
              <w:rPr>
                <w:rFonts w:hint="eastAsia" w:ascii="Times New Roman" w:hAnsi="Times New Roman" w:cs="Times New Roman"/>
                <w:sz w:val="24"/>
                <w:szCs w:val="24"/>
                <w:lang w:val="en-US" w:eastAsia="zh-CN"/>
              </w:rPr>
              <w:t>武进城区污水处理厂</w:t>
            </w:r>
            <w:r>
              <w:rPr>
                <w:rFonts w:hint="eastAsia" w:ascii="Times New Roman" w:hAnsi="Times New Roman" w:cs="Times New Roman"/>
                <w:bCs/>
                <w:sz w:val="24"/>
                <w:szCs w:val="24"/>
              </w:rPr>
              <w:t>运行情况</w:t>
            </w:r>
            <w:r>
              <w:rPr>
                <w:rFonts w:ascii="Times New Roman" w:hAnsi="Times New Roman" w:cs="Times New Roman"/>
                <w:bCs/>
                <w:sz w:val="24"/>
                <w:szCs w:val="24"/>
              </w:rPr>
              <w:t>，</w:t>
            </w:r>
            <w:r>
              <w:rPr>
                <w:rFonts w:hint="eastAsia" w:ascii="Times New Roman" w:hAnsi="Times New Roman" w:cs="Times New Roman"/>
                <w:sz w:val="24"/>
                <w:szCs w:val="24"/>
                <w:lang w:val="en-US" w:eastAsia="zh-CN"/>
              </w:rPr>
              <w:t>武进城区污水处理厂</w:t>
            </w:r>
            <w:r>
              <w:rPr>
                <w:rFonts w:hint="eastAsia" w:ascii="Times New Roman" w:hAnsi="Times New Roman" w:cs="Times New Roman"/>
                <w:sz w:val="24"/>
                <w:szCs w:val="24"/>
              </w:rPr>
              <w:t>出水</w:t>
            </w:r>
            <w:r>
              <w:rPr>
                <w:rFonts w:ascii="Times New Roman" w:hAnsi="Times New Roman" w:cs="Times New Roman"/>
                <w:bCs/>
                <w:sz w:val="24"/>
                <w:szCs w:val="24"/>
              </w:rPr>
              <w:t>能够实现</w:t>
            </w:r>
            <w:r>
              <w:rPr>
                <w:rFonts w:hint="eastAsia" w:ascii="Times New Roman" w:hAnsi="Times New Roman" w:cs="Times New Roman"/>
                <w:bCs/>
                <w:sz w:val="24"/>
                <w:szCs w:val="24"/>
              </w:rPr>
              <w:t>稳定</w:t>
            </w:r>
            <w:r>
              <w:rPr>
                <w:rFonts w:ascii="Times New Roman" w:hAnsi="Times New Roman" w:cs="Times New Roman"/>
                <w:bCs/>
                <w:sz w:val="24"/>
                <w:szCs w:val="24"/>
              </w:rPr>
              <w:t>达标排放，对</w:t>
            </w:r>
            <w:r>
              <w:rPr>
                <w:rFonts w:hint="eastAsia" w:ascii="Times New Roman" w:hAnsi="Times New Roman" w:cs="Times New Roman"/>
                <w:bCs/>
                <w:sz w:val="24"/>
                <w:szCs w:val="24"/>
                <w:lang w:val="en-US" w:eastAsia="zh-CN"/>
              </w:rPr>
              <w:t>采菱港</w:t>
            </w:r>
            <w:r>
              <w:rPr>
                <w:rFonts w:ascii="Times New Roman" w:hAnsi="Times New Roman" w:cs="Times New Roman"/>
                <w:bCs/>
                <w:sz w:val="24"/>
                <w:szCs w:val="24"/>
              </w:rPr>
              <w:t>影响较小，水质仍能维持Ⅳ类水现状</w:t>
            </w:r>
            <w:r>
              <w:rPr>
                <w:rFonts w:hint="eastAsia" w:ascii="Times New Roman" w:hAnsi="Times New Roman" w:cs="Times New Roman"/>
                <w:bCs/>
                <w:sz w:val="24"/>
                <w:szCs w:val="24"/>
              </w:rPr>
              <w:t>，地表水环境影响可接受</w:t>
            </w:r>
            <w:r>
              <w:rPr>
                <w:rFonts w:ascii="Times New Roman" w:hAnsi="Times New Roman" w:cs="Times New Roman"/>
                <w:bCs/>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cs="Times New Roman"/>
                <w:b/>
                <w:sz w:val="24"/>
                <w:szCs w:val="24"/>
              </w:rPr>
            </w:pPr>
            <w:r>
              <w:rPr>
                <w:rFonts w:hint="default" w:ascii="Times New Roman" w:hAnsi="Times New Roman" w:cs="Times New Roman"/>
                <w:b/>
                <w:sz w:val="24"/>
                <w:szCs w:val="24"/>
              </w:rPr>
              <w:t>2、环境空气影响分析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（1）评价等级的判定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bCs/>
                <w:sz w:val="24"/>
                <w:szCs w:val="24"/>
              </w:rPr>
              <w:t>采</w:t>
            </w:r>
            <w:r>
              <w:rPr>
                <w:rFonts w:hint="default" w:ascii="Times New Roman" w:hAnsi="Times New Roman" w:cs="Times New Roman"/>
                <w:sz w:val="24"/>
                <w:szCs w:val="24"/>
              </w:rPr>
              <w:t>用《环境影响评价技术导则  大气环境》（HJ2.2-2018）推荐估算模型进行评价等级的判断。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①污染源参数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本项目面源源强参数调查清单见表7-</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w:t>
            </w:r>
          </w:p>
          <w:p>
            <w:pPr>
              <w:spacing w:line="48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表7-</w:t>
            </w:r>
            <w:r>
              <w:rPr>
                <w:rFonts w:hint="eastAsia" w:ascii="Times New Roman" w:hAnsi="Times New Roman" w:cs="Times New Roman"/>
                <w:b/>
                <w:sz w:val="24"/>
                <w:szCs w:val="24"/>
                <w:lang w:val="en-US" w:eastAsia="zh-CN"/>
              </w:rPr>
              <w:t>4</w:t>
            </w:r>
            <w:r>
              <w:rPr>
                <w:rFonts w:hint="default" w:ascii="Times New Roman" w:hAnsi="Times New Roman" w:cs="Times New Roman"/>
                <w:b/>
                <w:sz w:val="24"/>
                <w:szCs w:val="24"/>
              </w:rPr>
              <w:t xml:space="preserve"> 本项目面源源强参数调查清单</w:t>
            </w:r>
          </w:p>
          <w:tbl>
            <w:tblPr>
              <w:tblStyle w:val="14"/>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167"/>
              <w:gridCol w:w="1099"/>
              <w:gridCol w:w="632"/>
              <w:gridCol w:w="632"/>
              <w:gridCol w:w="633"/>
              <w:gridCol w:w="571"/>
              <w:gridCol w:w="632"/>
              <w:gridCol w:w="515"/>
              <w:gridCol w:w="380"/>
              <w:gridCol w:w="599"/>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2" w:type="dxa"/>
                  <w:vMerge w:val="restart"/>
                  <w:shd w:val="clear" w:color="auto" w:fill="auto"/>
                  <w:vAlign w:val="top"/>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名称</w:t>
                  </w:r>
                </w:p>
              </w:tc>
              <w:tc>
                <w:tcPr>
                  <w:tcW w:w="2266" w:type="dxa"/>
                  <w:gridSpan w:val="2"/>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面源起点坐标/m</w:t>
                  </w:r>
                </w:p>
              </w:tc>
              <w:tc>
                <w:tcPr>
                  <w:tcW w:w="632"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面源海拔高度（m）</w:t>
                  </w:r>
                </w:p>
              </w:tc>
              <w:tc>
                <w:tcPr>
                  <w:tcW w:w="632"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面源长度（m）</w:t>
                  </w:r>
                </w:p>
              </w:tc>
              <w:tc>
                <w:tcPr>
                  <w:tcW w:w="633"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面源宽度（m）</w:t>
                  </w:r>
                </w:p>
              </w:tc>
              <w:tc>
                <w:tcPr>
                  <w:tcW w:w="571"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与正北夹角（°）</w:t>
                  </w:r>
                </w:p>
              </w:tc>
              <w:tc>
                <w:tcPr>
                  <w:tcW w:w="632"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面源有效排放高度（m）</w:t>
                  </w:r>
                </w:p>
              </w:tc>
              <w:tc>
                <w:tcPr>
                  <w:tcW w:w="515"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年排放小时数</w:t>
                  </w:r>
                </w:p>
              </w:tc>
              <w:tc>
                <w:tcPr>
                  <w:tcW w:w="380"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排放工况</w:t>
                  </w:r>
                </w:p>
              </w:tc>
              <w:tc>
                <w:tcPr>
                  <w:tcW w:w="1149" w:type="dxa"/>
                  <w:gridSpan w:val="2"/>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92" w:type="dxa"/>
                  <w:vMerge w:val="continue"/>
                  <w:shd w:val="clear" w:color="auto" w:fill="auto"/>
                  <w:vAlign w:val="top"/>
                </w:tcPr>
                <w:p>
                  <w:pPr>
                    <w:rPr>
                      <w:rFonts w:hint="default" w:ascii="Times New Roman" w:hAnsi="Times New Roman" w:cs="Times New Roman"/>
                      <w:b/>
                      <w:bCs/>
                      <w:sz w:val="21"/>
                      <w:szCs w:val="21"/>
                    </w:rPr>
                  </w:pPr>
                </w:p>
              </w:tc>
              <w:tc>
                <w:tcPr>
                  <w:tcW w:w="1167" w:type="dxa"/>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经度</w:t>
                  </w:r>
                </w:p>
              </w:tc>
              <w:tc>
                <w:tcPr>
                  <w:tcW w:w="1099" w:type="dxa"/>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纬度</w:t>
                  </w:r>
                </w:p>
              </w:tc>
              <w:tc>
                <w:tcPr>
                  <w:tcW w:w="632" w:type="dxa"/>
                  <w:vMerge w:val="continue"/>
                  <w:shd w:val="clear" w:color="auto" w:fill="auto"/>
                  <w:vAlign w:val="center"/>
                </w:tcPr>
                <w:p>
                  <w:pPr>
                    <w:rPr>
                      <w:rFonts w:hint="default" w:ascii="Times New Roman" w:hAnsi="Times New Roman" w:cs="Times New Roman"/>
                      <w:b/>
                      <w:bCs/>
                      <w:sz w:val="21"/>
                      <w:szCs w:val="21"/>
                    </w:rPr>
                  </w:pPr>
                </w:p>
              </w:tc>
              <w:tc>
                <w:tcPr>
                  <w:tcW w:w="632" w:type="dxa"/>
                  <w:vMerge w:val="continue"/>
                  <w:shd w:val="clear" w:color="auto" w:fill="auto"/>
                  <w:vAlign w:val="center"/>
                </w:tcPr>
                <w:p>
                  <w:pPr>
                    <w:rPr>
                      <w:rFonts w:hint="default" w:ascii="Times New Roman" w:hAnsi="Times New Roman" w:cs="Times New Roman"/>
                      <w:b/>
                      <w:bCs/>
                      <w:sz w:val="21"/>
                      <w:szCs w:val="21"/>
                    </w:rPr>
                  </w:pPr>
                </w:p>
              </w:tc>
              <w:tc>
                <w:tcPr>
                  <w:tcW w:w="633" w:type="dxa"/>
                  <w:vMerge w:val="continue"/>
                  <w:shd w:val="clear" w:color="auto" w:fill="auto"/>
                  <w:vAlign w:val="center"/>
                </w:tcPr>
                <w:p>
                  <w:pPr>
                    <w:rPr>
                      <w:rFonts w:hint="default" w:ascii="Times New Roman" w:hAnsi="Times New Roman" w:cs="Times New Roman"/>
                      <w:b/>
                      <w:bCs/>
                      <w:sz w:val="21"/>
                      <w:szCs w:val="21"/>
                    </w:rPr>
                  </w:pPr>
                </w:p>
              </w:tc>
              <w:tc>
                <w:tcPr>
                  <w:tcW w:w="571" w:type="dxa"/>
                  <w:vMerge w:val="continue"/>
                  <w:shd w:val="clear" w:color="auto" w:fill="auto"/>
                  <w:vAlign w:val="center"/>
                </w:tcPr>
                <w:p>
                  <w:pPr>
                    <w:rPr>
                      <w:rFonts w:hint="default" w:ascii="Times New Roman" w:hAnsi="Times New Roman" w:cs="Times New Roman"/>
                      <w:b/>
                      <w:bCs/>
                      <w:sz w:val="21"/>
                      <w:szCs w:val="21"/>
                    </w:rPr>
                  </w:pPr>
                </w:p>
              </w:tc>
              <w:tc>
                <w:tcPr>
                  <w:tcW w:w="632" w:type="dxa"/>
                  <w:vMerge w:val="continue"/>
                  <w:shd w:val="clear" w:color="auto" w:fill="auto"/>
                  <w:vAlign w:val="center"/>
                </w:tcPr>
                <w:p>
                  <w:pPr>
                    <w:rPr>
                      <w:rFonts w:hint="default" w:ascii="Times New Roman" w:hAnsi="Times New Roman" w:cs="Times New Roman"/>
                      <w:b/>
                      <w:bCs/>
                      <w:sz w:val="21"/>
                      <w:szCs w:val="21"/>
                    </w:rPr>
                  </w:pPr>
                </w:p>
              </w:tc>
              <w:tc>
                <w:tcPr>
                  <w:tcW w:w="515" w:type="dxa"/>
                  <w:vMerge w:val="continue"/>
                  <w:shd w:val="clear" w:color="auto" w:fill="auto"/>
                  <w:vAlign w:val="center"/>
                </w:tcPr>
                <w:p>
                  <w:pPr>
                    <w:rPr>
                      <w:rFonts w:hint="default" w:ascii="Times New Roman" w:hAnsi="Times New Roman" w:cs="Times New Roman"/>
                      <w:b/>
                      <w:bCs/>
                      <w:sz w:val="21"/>
                      <w:szCs w:val="21"/>
                    </w:rPr>
                  </w:pPr>
                </w:p>
              </w:tc>
              <w:tc>
                <w:tcPr>
                  <w:tcW w:w="380" w:type="dxa"/>
                  <w:vMerge w:val="continue"/>
                  <w:shd w:val="clear" w:color="auto" w:fill="auto"/>
                  <w:vAlign w:val="center"/>
                </w:tcPr>
                <w:p>
                  <w:pPr>
                    <w:rPr>
                      <w:rFonts w:hint="default" w:ascii="Times New Roman" w:hAnsi="Times New Roman" w:cs="Times New Roman"/>
                      <w:b/>
                      <w:bCs/>
                      <w:sz w:val="21"/>
                      <w:szCs w:val="21"/>
                    </w:rPr>
                  </w:pPr>
                </w:p>
              </w:tc>
              <w:tc>
                <w:tcPr>
                  <w:tcW w:w="599" w:type="dxa"/>
                  <w:shd w:val="clear" w:color="auto" w:fill="auto"/>
                  <w:vAlign w:val="center"/>
                </w:tcPr>
                <w:p>
                  <w:pPr>
                    <w:jc w:val="center"/>
                    <w:rPr>
                      <w:rFonts w:hint="default" w:ascii="Times New Roman" w:hAnsi="Times New Roman" w:cs="Times New Roman"/>
                      <w:b/>
                      <w:sz w:val="21"/>
                      <w:szCs w:val="21"/>
                    </w:rPr>
                  </w:pPr>
                  <w:r>
                    <w:rPr>
                      <w:rFonts w:hint="default" w:ascii="Times New Roman" w:hAnsi="Times New Roman" w:cs="Times New Roman"/>
                      <w:b/>
                      <w:bCs/>
                      <w:sz w:val="21"/>
                      <w:szCs w:val="21"/>
                      <w:lang w:val="en-US" w:eastAsia="zh-CN"/>
                    </w:rPr>
                    <w:t>锡及其化合物</w:t>
                  </w:r>
                </w:p>
              </w:tc>
              <w:tc>
                <w:tcPr>
                  <w:tcW w:w="550" w:type="dxa"/>
                  <w:vAlign w:val="center"/>
                </w:tcPr>
                <w:p>
                  <w:pPr>
                    <w:jc w:val="center"/>
                    <w:rPr>
                      <w:rFonts w:hint="default" w:ascii="Times New Roman" w:hAnsi="Times New Roman" w:cs="Times New Roman"/>
                      <w:b/>
                      <w:bCs/>
                      <w:sz w:val="21"/>
                      <w:szCs w:val="21"/>
                      <w:lang w:val="en-US"/>
                    </w:rPr>
                  </w:pPr>
                  <w:r>
                    <w:rPr>
                      <w:rFonts w:hint="eastAsia" w:ascii="Times New Roman" w:hAnsi="Times New Roman" w:cs="Times New Roman"/>
                      <w:b/>
                      <w:bCs/>
                      <w:sz w:val="21"/>
                      <w:szCs w:val="21"/>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92" w:type="dxa"/>
                  <w:shd w:val="clear" w:color="auto" w:fill="auto"/>
                  <w:vAlign w:val="top"/>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生产车间</w:t>
                  </w:r>
                </w:p>
              </w:tc>
              <w:tc>
                <w:tcPr>
                  <w:tcW w:w="1167" w:type="dxa"/>
                  <w:shd w:val="clear" w:color="auto" w:fill="auto"/>
                  <w:vAlign w:val="center"/>
                </w:tcPr>
                <w:p>
                  <w:pPr>
                    <w:adjustRightInd w:val="0"/>
                    <w:snapToGrid w:val="0"/>
                    <w:jc w:val="center"/>
                    <w:rPr>
                      <w:rFonts w:hint="default" w:ascii="Times New Roman" w:hAnsi="Times New Roman" w:cs="Times New Roman"/>
                      <w:sz w:val="21"/>
                      <w:szCs w:val="21"/>
                    </w:rPr>
                  </w:pPr>
                  <w:r>
                    <w:rPr>
                      <w:rFonts w:hint="eastAsia"/>
                      <w:sz w:val="21"/>
                      <w:szCs w:val="21"/>
                    </w:rPr>
                    <w:t>1</w:t>
                  </w:r>
                  <w:r>
                    <w:rPr>
                      <w:rFonts w:hint="eastAsia"/>
                      <w:sz w:val="21"/>
                      <w:szCs w:val="21"/>
                      <w:lang w:val="en-US" w:eastAsia="zh-CN"/>
                    </w:rPr>
                    <w:t>19.844232°</w:t>
                  </w:r>
                </w:p>
              </w:tc>
              <w:tc>
                <w:tcPr>
                  <w:tcW w:w="1099" w:type="dxa"/>
                  <w:shd w:val="clear" w:color="auto" w:fill="auto"/>
                  <w:vAlign w:val="center"/>
                </w:tcPr>
                <w:p>
                  <w:pPr>
                    <w:adjustRightInd w:val="0"/>
                    <w:snapToGrid w:val="0"/>
                    <w:jc w:val="center"/>
                    <w:rPr>
                      <w:rFonts w:hint="default" w:ascii="Times New Roman" w:hAnsi="Times New Roman" w:cs="Times New Roman"/>
                      <w:sz w:val="21"/>
                      <w:szCs w:val="21"/>
                    </w:rPr>
                  </w:pPr>
                  <w:r>
                    <w:rPr>
                      <w:rFonts w:hint="eastAsia"/>
                      <w:sz w:val="21"/>
                      <w:szCs w:val="21"/>
                    </w:rPr>
                    <w:t>31</w:t>
                  </w:r>
                  <w:r>
                    <w:rPr>
                      <w:rFonts w:hint="eastAsia"/>
                      <w:sz w:val="21"/>
                      <w:szCs w:val="21"/>
                      <w:lang w:val="en-US" w:eastAsia="zh-CN"/>
                    </w:rPr>
                    <w:t>.725715°</w:t>
                  </w:r>
                </w:p>
              </w:tc>
              <w:tc>
                <w:tcPr>
                  <w:tcW w:w="632"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632" w:type="dxa"/>
                  <w:shd w:val="clear" w:color="auto" w:fill="auto"/>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3</w:t>
                  </w:r>
                  <w:r>
                    <w:rPr>
                      <w:rFonts w:hint="default" w:ascii="Times New Roman" w:hAnsi="Times New Roman" w:cs="Times New Roman"/>
                      <w:sz w:val="21"/>
                      <w:szCs w:val="21"/>
                    </w:rPr>
                    <w:t>0</w:t>
                  </w:r>
                </w:p>
              </w:tc>
              <w:tc>
                <w:tcPr>
                  <w:tcW w:w="633"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w:t>
                  </w:r>
                </w:p>
              </w:tc>
              <w:tc>
                <w:tcPr>
                  <w:tcW w:w="571"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0</w:t>
                  </w:r>
                </w:p>
              </w:tc>
              <w:tc>
                <w:tcPr>
                  <w:tcW w:w="632"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w:t>
                  </w:r>
                </w:p>
              </w:tc>
              <w:tc>
                <w:tcPr>
                  <w:tcW w:w="515"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2400</w:t>
                  </w:r>
                </w:p>
              </w:tc>
              <w:tc>
                <w:tcPr>
                  <w:tcW w:w="380"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间歇排放</w:t>
                  </w:r>
                </w:p>
              </w:tc>
              <w:tc>
                <w:tcPr>
                  <w:tcW w:w="599"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bCs/>
                      <w:color w:val="auto"/>
                      <w:sz w:val="21"/>
                      <w:szCs w:val="21"/>
                      <w:lang w:val="en-US" w:eastAsia="zh-CN"/>
                    </w:rPr>
                    <w:t>0.0004</w:t>
                  </w:r>
                </w:p>
              </w:tc>
              <w:tc>
                <w:tcPr>
                  <w:tcW w:w="550"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bCs/>
                      <w:color w:val="auto"/>
                      <w:sz w:val="21"/>
                      <w:szCs w:val="21"/>
                      <w:lang w:val="en-US" w:eastAsia="zh-CN"/>
                    </w:rPr>
                    <w:t>0.0002</w:t>
                  </w:r>
                </w:p>
              </w:tc>
            </w:tr>
          </w:tbl>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②估算模型参数</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估算模型参数见下表。</w:t>
            </w:r>
          </w:p>
          <w:p>
            <w:pPr>
              <w:spacing w:line="324" w:lineRule="auto"/>
              <w:ind w:firstLine="482"/>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表7-6估算模型参数</w:t>
            </w:r>
          </w:p>
          <w:tbl>
            <w:tblPr>
              <w:tblStyle w:val="14"/>
              <w:tblW w:w="8306"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37"/>
              <w:gridCol w:w="3419"/>
              <w:gridCol w:w="30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blHeader/>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参数</w:t>
                  </w:r>
                </w:p>
              </w:tc>
              <w:tc>
                <w:tcPr>
                  <w:tcW w:w="3050" w:type="dxa"/>
                  <w:shd w:val="clear" w:color="auto" w:fill="FFFFFF"/>
                  <w:vAlign w:val="center"/>
                </w:tcPr>
                <w:p>
                  <w:pPr>
                    <w:pStyle w:val="43"/>
                    <w:spacing w:before="24" w:after="2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取值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8" w:hRule="atLeast"/>
                <w:jc w:val="center"/>
              </w:trPr>
              <w:tc>
                <w:tcPr>
                  <w:tcW w:w="1837" w:type="dxa"/>
                  <w:vMerge w:val="restart"/>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城市/农村选项</w:t>
                  </w: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城市/农村</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837" w:type="dxa"/>
                  <w:vMerge w:val="continue"/>
                  <w:shd w:val="clear" w:color="auto" w:fill="FFFFFF"/>
                  <w:vAlign w:val="center"/>
                </w:tcPr>
                <w:p>
                  <w:pPr>
                    <w:pStyle w:val="43"/>
                    <w:spacing w:before="24" w:after="24"/>
                    <w:rPr>
                      <w:rFonts w:hint="default" w:ascii="Times New Roman" w:hAnsi="Times New Roman" w:eastAsia="宋体" w:cs="Times New Roman"/>
                      <w:sz w:val="21"/>
                      <w:szCs w:val="21"/>
                    </w:rPr>
                  </w:pP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人口数（城市选项时）</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最高环境温度/ ℃</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cs="Times New Roman"/>
                      <w:sz w:val="21"/>
                      <w:szCs w:val="21"/>
                    </w:rPr>
                    <w:t>37.2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8" w:hRule="atLeast"/>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最低环境温度/ ℃</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cs="Times New Roman"/>
                      <w:sz w:val="21"/>
                      <w:szCs w:val="21"/>
                    </w:rPr>
                    <w:t>-5.7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土地利用类型</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区域湿度条件</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潮湿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1837" w:type="dxa"/>
                  <w:vMerge w:val="restart"/>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是否考虑地形</w:t>
                  </w: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考虑地形</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□是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eq \o\ac(</w:instrText>
                  </w:r>
                  <w:r>
                    <w:rPr>
                      <w:rFonts w:hint="default" w:ascii="Times New Roman" w:hAnsi="Times New Roman" w:cs="Times New Roman"/>
                      <w:position w:val="-4"/>
                      <w:sz w:val="31"/>
                      <w:szCs w:val="21"/>
                    </w:rPr>
                    <w:instrText xml:space="preserve">□</w:instrText>
                  </w:r>
                  <w:r>
                    <w:rPr>
                      <w:rFonts w:hint="default" w:ascii="Times New Roman" w:hAnsi="Times New Roman" w:cs="Times New Roman"/>
                      <w:position w:val="0"/>
                      <w:sz w:val="21"/>
                      <w:szCs w:val="21"/>
                    </w:rPr>
                    <w:instrText xml:space="preserve">,√)</w:instrText>
                  </w:r>
                  <w:r>
                    <w:rPr>
                      <w:rFonts w:hint="default" w:ascii="Times New Roman" w:hAnsi="Times New Roman" w:cs="Times New Roman"/>
                      <w:sz w:val="21"/>
                      <w:szCs w:val="21"/>
                    </w:rPr>
                    <w:fldChar w:fldCharType="end"/>
                  </w:r>
                  <w:r>
                    <w:rPr>
                      <w:rFonts w:hint="default" w:ascii="Times New Roman" w:hAnsi="Times New Roman" w:eastAsia="宋体" w:cs="Times New Roman"/>
                      <w:sz w:val="21"/>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1837" w:type="dxa"/>
                  <w:vMerge w:val="continue"/>
                  <w:shd w:val="clear" w:color="auto" w:fill="FFFFFF"/>
                  <w:vAlign w:val="center"/>
                </w:tcPr>
                <w:p>
                  <w:pPr>
                    <w:pStyle w:val="43"/>
                    <w:spacing w:before="24" w:after="24"/>
                    <w:rPr>
                      <w:rFonts w:hint="default" w:ascii="Times New Roman" w:hAnsi="Times New Roman" w:eastAsia="宋体" w:cs="Times New Roman"/>
                      <w:sz w:val="21"/>
                      <w:szCs w:val="21"/>
                    </w:rPr>
                  </w:pP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地形数据分辨率 / m</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1837" w:type="dxa"/>
                  <w:vMerge w:val="restart"/>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是否考虑岸线熏烟</w:t>
                  </w: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考虑岸线熏烟</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□是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eq \o\ac(</w:instrText>
                  </w:r>
                  <w:r>
                    <w:rPr>
                      <w:rFonts w:hint="default" w:ascii="Times New Roman" w:hAnsi="Times New Roman" w:cs="Times New Roman"/>
                      <w:position w:val="-4"/>
                      <w:sz w:val="31"/>
                      <w:szCs w:val="21"/>
                    </w:rPr>
                    <w:instrText xml:space="preserve">□</w:instrText>
                  </w:r>
                  <w:r>
                    <w:rPr>
                      <w:rFonts w:hint="default" w:ascii="Times New Roman" w:hAnsi="Times New Roman" w:cs="Times New Roman"/>
                      <w:position w:val="0"/>
                      <w:sz w:val="21"/>
                      <w:szCs w:val="21"/>
                    </w:rPr>
                    <w:instrText xml:space="preserve">,√)</w:instrText>
                  </w:r>
                  <w:r>
                    <w:rPr>
                      <w:rFonts w:hint="default" w:ascii="Times New Roman" w:hAnsi="Times New Roman" w:cs="Times New Roman"/>
                      <w:sz w:val="21"/>
                      <w:szCs w:val="21"/>
                    </w:rPr>
                    <w:fldChar w:fldCharType="end"/>
                  </w:r>
                  <w:r>
                    <w:rPr>
                      <w:rFonts w:hint="default" w:ascii="Times New Roman" w:hAnsi="Times New Roman" w:eastAsia="宋体" w:cs="Times New Roman"/>
                      <w:sz w:val="21"/>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837" w:type="dxa"/>
                  <w:vMerge w:val="continue"/>
                  <w:shd w:val="clear" w:color="auto" w:fill="FFFFFF"/>
                  <w:vAlign w:val="center"/>
                </w:tcPr>
                <w:p>
                  <w:pPr>
                    <w:pStyle w:val="43"/>
                    <w:spacing w:before="24" w:after="24"/>
                    <w:rPr>
                      <w:rFonts w:hint="default" w:ascii="Times New Roman" w:hAnsi="Times New Roman" w:eastAsia="宋体" w:cs="Times New Roman"/>
                      <w:sz w:val="21"/>
                      <w:szCs w:val="21"/>
                    </w:rPr>
                  </w:pP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岸线距离/ km</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1837" w:type="dxa"/>
                  <w:vMerge w:val="continue"/>
                  <w:shd w:val="clear" w:color="auto" w:fill="FFFFFF"/>
                  <w:vAlign w:val="center"/>
                </w:tcPr>
                <w:p>
                  <w:pPr>
                    <w:pStyle w:val="43"/>
                    <w:spacing w:before="24" w:after="24"/>
                    <w:rPr>
                      <w:rFonts w:hint="default" w:ascii="Times New Roman" w:hAnsi="Times New Roman" w:eastAsia="宋体" w:cs="Times New Roman"/>
                      <w:sz w:val="21"/>
                      <w:szCs w:val="21"/>
                    </w:rPr>
                  </w:pP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岸线方向/ °</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snapToGri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(2)最大占标率计算结果</w:t>
            </w:r>
          </w:p>
          <w:p>
            <w:pPr>
              <w:snapToGri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本项目大气污染物最大占标率计算表见下表。</w:t>
            </w:r>
          </w:p>
          <w:p>
            <w:pPr>
              <w:pStyle w:val="2"/>
              <w:tabs>
                <w:tab w:val="left" w:pos="7545"/>
              </w:tabs>
              <w:ind w:firstLine="482"/>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 7-8大气污染物最大占标率计算表</w:t>
            </w:r>
          </w:p>
          <w:tbl>
            <w:tblPr>
              <w:tblStyle w:val="14"/>
              <w:tblW w:w="830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8"/>
              <w:gridCol w:w="1185"/>
              <w:gridCol w:w="1591"/>
              <w:gridCol w:w="792"/>
              <w:gridCol w:w="1440"/>
              <w:gridCol w:w="1109"/>
              <w:gridCol w:w="12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23" w:type="dxa"/>
                  <w:gridSpan w:val="2"/>
                  <w:shd w:val="clear" w:color="auto" w:fill="auto"/>
                  <w:vAlign w:val="center"/>
                </w:tcPr>
                <w:p>
                  <w:pPr>
                    <w:pStyle w:val="23"/>
                    <w:rPr>
                      <w:rFonts w:hint="default" w:ascii="Times New Roman" w:hAnsi="Times New Roman" w:cs="Times New Roman"/>
                      <w:b/>
                      <w:sz w:val="21"/>
                      <w:szCs w:val="21"/>
                    </w:rPr>
                  </w:pPr>
                  <w:r>
                    <w:rPr>
                      <w:rFonts w:hint="default" w:ascii="Times New Roman" w:hAnsi="Times New Roman" w:cs="Times New Roman"/>
                      <w:b/>
                      <w:sz w:val="21"/>
                      <w:szCs w:val="21"/>
                    </w:rPr>
                    <w:t>分类</w:t>
                  </w:r>
                </w:p>
              </w:tc>
              <w:tc>
                <w:tcPr>
                  <w:tcW w:w="1591"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污染物名称</w:t>
                  </w:r>
                </w:p>
              </w:tc>
              <w:tc>
                <w:tcPr>
                  <w:tcW w:w="792"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距离（m）</w:t>
                  </w:r>
                </w:p>
              </w:tc>
              <w:tc>
                <w:tcPr>
                  <w:tcW w:w="1440"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C</w:t>
                  </w:r>
                  <w:r>
                    <w:rPr>
                      <w:rFonts w:hint="default" w:ascii="Times New Roman" w:hAnsi="Times New Roman" w:cs="Times New Roman"/>
                      <w:b/>
                      <w:bCs/>
                      <w:sz w:val="21"/>
                      <w:szCs w:val="21"/>
                      <w:vertAlign w:val="subscript"/>
                    </w:rPr>
                    <w:t>i</w:t>
                  </w:r>
                  <w:r>
                    <w:rPr>
                      <w:rFonts w:hint="default" w:ascii="Times New Roman" w:hAnsi="Times New Roman" w:cs="Times New Roman"/>
                      <w:b/>
                      <w:bCs/>
                      <w:sz w:val="21"/>
                      <w:szCs w:val="21"/>
                    </w:rPr>
                    <w:t>（ug/m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w:t>
                  </w:r>
                </w:p>
              </w:tc>
              <w:tc>
                <w:tcPr>
                  <w:tcW w:w="1109"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P</w:t>
                  </w:r>
                  <w:r>
                    <w:rPr>
                      <w:rFonts w:hint="default" w:ascii="Times New Roman" w:hAnsi="Times New Roman" w:cs="Times New Roman"/>
                      <w:b/>
                      <w:bCs/>
                      <w:sz w:val="21"/>
                      <w:szCs w:val="21"/>
                      <w:vertAlign w:val="subscript"/>
                    </w:rPr>
                    <w:t>i</w:t>
                  </w:r>
                  <w:r>
                    <w:rPr>
                      <w:rFonts w:hint="default" w:ascii="Times New Roman" w:hAnsi="Times New Roman" w:cs="Times New Roman"/>
                      <w:b/>
                      <w:bCs/>
                      <w:sz w:val="21"/>
                      <w:szCs w:val="21"/>
                    </w:rPr>
                    <w:t>（%）</w:t>
                  </w:r>
                </w:p>
              </w:tc>
              <w:tc>
                <w:tcPr>
                  <w:tcW w:w="1247"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C</w:t>
                  </w:r>
                  <w:r>
                    <w:rPr>
                      <w:rFonts w:hint="default" w:ascii="Times New Roman" w:hAnsi="Times New Roman" w:cs="Times New Roman"/>
                      <w:b/>
                      <w:bCs/>
                      <w:sz w:val="21"/>
                      <w:szCs w:val="21"/>
                      <w:vertAlign w:val="subscript"/>
                    </w:rPr>
                    <w:t>0i</w:t>
                  </w:r>
                  <w:r>
                    <w:rPr>
                      <w:rFonts w:hint="default" w:ascii="Times New Roman" w:hAnsi="Times New Roman" w:cs="Times New Roman"/>
                      <w:b/>
                      <w:bCs/>
                      <w:sz w:val="21"/>
                      <w:szCs w:val="21"/>
                    </w:rPr>
                    <w:t>（ug/m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938" w:type="dxa"/>
                  <w:vMerge w:val="restart"/>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无组织废气</w:t>
                  </w:r>
                </w:p>
              </w:tc>
              <w:tc>
                <w:tcPr>
                  <w:tcW w:w="1185" w:type="dxa"/>
                  <w:vMerge w:val="restart"/>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生产车间</w:t>
                  </w:r>
                </w:p>
              </w:tc>
              <w:tc>
                <w:tcPr>
                  <w:tcW w:w="1591" w:type="dxa"/>
                  <w:shd w:val="clear" w:color="auto" w:fill="auto"/>
                  <w:vAlign w:val="center"/>
                </w:tcPr>
                <w:p>
                  <w:pPr>
                    <w:jc w:val="center"/>
                    <w:rPr>
                      <w:rFonts w:hint="default" w:ascii="Times New Roman" w:hAnsi="Times New Roman" w:cs="Times New Roman"/>
                      <w:sz w:val="21"/>
                      <w:szCs w:val="21"/>
                    </w:rPr>
                  </w:pPr>
                  <w:r>
                    <w:rPr>
                      <w:rFonts w:hint="eastAsia" w:ascii="Times New Roman" w:hAnsi="Times New Roman" w:eastAsia="宋体" w:cs="Times New Roman"/>
                      <w:sz w:val="21"/>
                      <w:szCs w:val="21"/>
                      <w:lang w:val="en-US" w:eastAsia="zh-CN"/>
                    </w:rPr>
                    <w:t>非甲烷总烃</w:t>
                  </w:r>
                </w:p>
              </w:tc>
              <w:tc>
                <w:tcPr>
                  <w:tcW w:w="792"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31</w:t>
                  </w:r>
                </w:p>
              </w:tc>
              <w:tc>
                <w:tcPr>
                  <w:tcW w:w="1440"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eastAsia="宋体" w:cs="Times New Roman"/>
                      <w:sz w:val="21"/>
                      <w:szCs w:val="21"/>
                      <w:lang w:val="en-US" w:eastAsia="zh-CN"/>
                    </w:rPr>
                    <w:t>6.5339×10</w:t>
                  </w:r>
                  <w:r>
                    <w:rPr>
                      <w:rFonts w:hint="eastAsia" w:ascii="Times New Roman" w:hAnsi="Times New Roman" w:eastAsia="宋体" w:cs="Times New Roman"/>
                      <w:sz w:val="21"/>
                      <w:szCs w:val="21"/>
                      <w:vertAlign w:val="superscript"/>
                      <w:lang w:val="en-US" w:eastAsia="zh-CN"/>
                    </w:rPr>
                    <w:t>-2</w:t>
                  </w:r>
                </w:p>
              </w:tc>
              <w:tc>
                <w:tcPr>
                  <w:tcW w:w="1109" w:type="dxa"/>
                  <w:shd w:val="clear" w:color="auto" w:fill="auto"/>
                  <w:vAlign w:val="center"/>
                </w:tcPr>
                <w:p>
                  <w:pPr>
                    <w:jc w:val="center"/>
                    <w:rPr>
                      <w:rFonts w:hint="default" w:ascii="Times New Roman" w:hAnsi="Times New Roman" w:cs="Times New Roman"/>
                      <w:sz w:val="21"/>
                      <w:szCs w:val="21"/>
                      <w:lang w:val="en-US"/>
                    </w:rPr>
                  </w:pPr>
                  <w:r>
                    <w:rPr>
                      <w:rFonts w:hint="eastAsia" w:ascii="Times New Roman" w:hAnsi="Times New Roman" w:eastAsia="宋体" w:cs="Times New Roman"/>
                      <w:sz w:val="21"/>
                      <w:szCs w:val="21"/>
                      <w:lang w:val="en-US" w:eastAsia="zh-CN"/>
                    </w:rPr>
                    <w:t>0.003</w:t>
                  </w:r>
                </w:p>
              </w:tc>
              <w:tc>
                <w:tcPr>
                  <w:tcW w:w="1247"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938" w:type="dxa"/>
                  <w:vMerge w:val="continue"/>
                  <w:shd w:val="clear" w:color="auto" w:fill="auto"/>
                  <w:vAlign w:val="center"/>
                </w:tcPr>
                <w:p>
                  <w:pPr>
                    <w:jc w:val="center"/>
                    <w:rPr>
                      <w:rFonts w:hint="default" w:ascii="Times New Roman" w:hAnsi="Times New Roman" w:cs="Times New Roman"/>
                      <w:sz w:val="21"/>
                      <w:szCs w:val="21"/>
                    </w:rPr>
                  </w:pPr>
                </w:p>
              </w:tc>
              <w:tc>
                <w:tcPr>
                  <w:tcW w:w="1185" w:type="dxa"/>
                  <w:vMerge w:val="continue"/>
                  <w:shd w:val="clear" w:color="auto" w:fill="auto"/>
                  <w:vAlign w:val="center"/>
                </w:tcPr>
                <w:p>
                  <w:pPr>
                    <w:jc w:val="center"/>
                    <w:rPr>
                      <w:rFonts w:hint="default" w:ascii="Times New Roman" w:hAnsi="Times New Roman" w:cs="Times New Roman"/>
                      <w:sz w:val="21"/>
                      <w:szCs w:val="21"/>
                    </w:rPr>
                  </w:pPr>
                </w:p>
              </w:tc>
              <w:tc>
                <w:tcPr>
                  <w:tcW w:w="1591"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锡及其化合物</w:t>
                  </w:r>
                </w:p>
              </w:tc>
              <w:tc>
                <w:tcPr>
                  <w:tcW w:w="792"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31</w:t>
                  </w:r>
                </w:p>
              </w:tc>
              <w:tc>
                <w:tcPr>
                  <w:tcW w:w="1440"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eastAsia="宋体" w:cs="Times New Roman"/>
                      <w:sz w:val="21"/>
                      <w:szCs w:val="21"/>
                      <w:lang w:val="en-US" w:eastAsia="zh-CN"/>
                    </w:rPr>
                    <w:t>0.13068</w:t>
                  </w:r>
                </w:p>
              </w:tc>
              <w:tc>
                <w:tcPr>
                  <w:tcW w:w="1109"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i w:val="0"/>
                      <w:color w:val="000000"/>
                      <w:kern w:val="0"/>
                      <w:sz w:val="22"/>
                      <w:szCs w:val="22"/>
                      <w:u w:val="none"/>
                      <w:lang w:val="en-US" w:eastAsia="zh-CN" w:bidi="ar"/>
                    </w:rPr>
                    <w:t>0.</w:t>
                  </w:r>
                  <w:r>
                    <w:rPr>
                      <w:rFonts w:hint="eastAsia" w:ascii="Times New Roman" w:hAnsi="Times New Roman" w:eastAsia="宋体" w:cs="Times New Roman"/>
                      <w:i w:val="0"/>
                      <w:color w:val="000000"/>
                      <w:kern w:val="0"/>
                      <w:sz w:val="22"/>
                      <w:szCs w:val="22"/>
                      <w:u w:val="none"/>
                      <w:lang w:val="en-US" w:eastAsia="zh-CN" w:bidi="ar"/>
                    </w:rPr>
                    <w:t>22</w:t>
                  </w:r>
                </w:p>
              </w:tc>
              <w:tc>
                <w:tcPr>
                  <w:tcW w:w="1247"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w:t>
                  </w:r>
                  <w:r>
                    <w:rPr>
                      <w:rFonts w:hint="default" w:ascii="Times New Roman" w:hAnsi="Times New Roman" w:cs="Times New Roman"/>
                      <w:sz w:val="21"/>
                      <w:szCs w:val="21"/>
                      <w:lang w:val="en-US" w:eastAsia="zh-CN"/>
                    </w:rPr>
                    <w:t>0</w:t>
                  </w:r>
                </w:p>
              </w:tc>
            </w:tr>
          </w:tbl>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根据《环境影响评价技术导则  大气环境》（HJ2.2-2018），本项目大气环境评价等级为</w:t>
            </w:r>
            <w:r>
              <w:rPr>
                <w:rFonts w:hint="eastAsia" w:ascii="Times New Roman" w:hAnsi="Times New Roman" w:cs="Times New Roman"/>
                <w:sz w:val="24"/>
                <w:szCs w:val="24"/>
                <w:lang w:val="en-US" w:eastAsia="zh-CN"/>
              </w:rPr>
              <w:t>三</w:t>
            </w:r>
            <w:r>
              <w:rPr>
                <w:rFonts w:hint="default" w:ascii="Times New Roman" w:hAnsi="Times New Roman" w:cs="Times New Roman"/>
                <w:sz w:val="24"/>
                <w:szCs w:val="24"/>
              </w:rPr>
              <w:t>级。</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（3）卫生防护距离</w:t>
            </w:r>
          </w:p>
          <w:p>
            <w:pPr>
              <w:snapToGri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根据《制定地方大气污染物排放标准的技术方法》（GB/T13201-91）中的工业企业卫生防护距离的制定方法确定企业的卫生防护距离，卫生防护距离计算公式：</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2295525" cy="447675"/>
                  <wp:effectExtent l="0" t="0" r="0" b="8255"/>
                  <wp:docPr id="1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7"/>
                          <pic:cNvPicPr>
                            <a:picLocks noChangeAspect="1" noChangeArrowheads="1"/>
                          </pic:cNvPicPr>
                        </pic:nvPicPr>
                        <pic:blipFill>
                          <a:blip r:embed="rId10"/>
                          <a:srcRect/>
                          <a:stretch>
                            <a:fillRect/>
                          </a:stretch>
                        </pic:blipFill>
                        <pic:spPr>
                          <a:xfrm>
                            <a:off x="0" y="0"/>
                            <a:ext cx="2295525" cy="447675"/>
                          </a:xfrm>
                          <a:prstGeom prst="rect">
                            <a:avLst/>
                          </a:prstGeom>
                          <a:noFill/>
                          <a:ln w="9525">
                            <a:noFill/>
                            <a:miter lim="800000"/>
                            <a:headEnd/>
                            <a:tailEnd/>
                          </a:ln>
                          <a:effectLst/>
                        </pic:spPr>
                      </pic:pic>
                    </a:graphicData>
                  </a:graphic>
                </wp:inline>
              </w:drawing>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式中：C</w:t>
            </w:r>
            <w:r>
              <w:rPr>
                <w:rFonts w:hint="default" w:ascii="Times New Roman" w:hAnsi="Times New Roman" w:cs="Times New Roman"/>
                <w:sz w:val="24"/>
                <w:szCs w:val="24"/>
                <w:vertAlign w:val="subscript"/>
              </w:rPr>
              <w:t>m</w:t>
            </w:r>
            <w:r>
              <w:rPr>
                <w:rFonts w:hint="default" w:ascii="Times New Roman" w:hAnsi="Times New Roman" w:cs="Times New Roman"/>
                <w:sz w:val="24"/>
                <w:szCs w:val="24"/>
              </w:rPr>
              <w:t>——标准浓度限值，mg/m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360" w:lineRule="auto"/>
              <w:ind w:firstLine="1200" w:firstLineChars="500"/>
              <w:rPr>
                <w:rFonts w:hint="default" w:ascii="Times New Roman" w:hAnsi="Times New Roman" w:cs="Times New Roman"/>
                <w:sz w:val="24"/>
                <w:szCs w:val="24"/>
              </w:rPr>
            </w:pPr>
            <w:r>
              <w:rPr>
                <w:rFonts w:hint="default" w:ascii="Times New Roman" w:hAnsi="Times New Roman" w:cs="Times New Roman"/>
                <w:sz w:val="24"/>
                <w:szCs w:val="24"/>
              </w:rPr>
              <w:t>Q</w:t>
            </w:r>
            <w:r>
              <w:rPr>
                <w:rFonts w:hint="default" w:ascii="Times New Roman" w:hAnsi="Times New Roman" w:cs="Times New Roman"/>
                <w:sz w:val="24"/>
                <w:szCs w:val="24"/>
                <w:vertAlign w:val="subscript"/>
              </w:rPr>
              <w:t>c</w:t>
            </w:r>
            <w:r>
              <w:rPr>
                <w:rFonts w:hint="default" w:ascii="Times New Roman" w:hAnsi="Times New Roman" w:cs="Times New Roman"/>
                <w:sz w:val="24"/>
                <w:szCs w:val="24"/>
              </w:rPr>
              <w:t>——工业企业有害气体无组织排放量可以达到的控制水平，kg/h；</w:t>
            </w:r>
          </w:p>
          <w:p>
            <w:pPr>
              <w:spacing w:line="360" w:lineRule="auto"/>
              <w:ind w:firstLine="1320" w:firstLineChars="550"/>
              <w:rPr>
                <w:rFonts w:hint="default" w:ascii="Times New Roman" w:hAnsi="Times New Roman" w:cs="Times New Roman"/>
                <w:sz w:val="24"/>
                <w:szCs w:val="24"/>
              </w:rPr>
            </w:pPr>
            <w:r>
              <w:rPr>
                <w:rFonts w:hint="default" w:ascii="Times New Roman" w:hAnsi="Times New Roman" w:cs="Times New Roman"/>
                <w:sz w:val="24"/>
                <w:szCs w:val="24"/>
              </w:rPr>
              <w:t>r——有害气体无组织排放源所在生产单元的等效半径，m；</w:t>
            </w:r>
          </w:p>
          <w:p>
            <w:pPr>
              <w:spacing w:line="360" w:lineRule="auto"/>
              <w:ind w:firstLine="1320" w:firstLineChars="550"/>
              <w:rPr>
                <w:rFonts w:hint="default" w:ascii="Times New Roman" w:hAnsi="Times New Roman" w:cs="Times New Roman"/>
                <w:sz w:val="24"/>
                <w:szCs w:val="24"/>
              </w:rPr>
            </w:pPr>
            <w:r>
              <w:rPr>
                <w:rFonts w:hint="default" w:ascii="Times New Roman" w:hAnsi="Times New Roman" w:cs="Times New Roman"/>
                <w:sz w:val="24"/>
                <w:szCs w:val="24"/>
              </w:rPr>
              <w:t>L——工业企业所需的卫生防护距离，m；</w:t>
            </w:r>
          </w:p>
          <w:p>
            <w:pPr>
              <w:spacing w:line="360" w:lineRule="auto"/>
              <w:ind w:firstLine="1320" w:firstLineChars="550"/>
              <w:rPr>
                <w:rFonts w:hint="default" w:ascii="Times New Roman" w:hAnsi="Times New Roman" w:cs="Times New Roman"/>
                <w:sz w:val="24"/>
                <w:szCs w:val="24"/>
              </w:rPr>
            </w:pPr>
            <w:r>
              <w:rPr>
                <w:rFonts w:hint="default" w:ascii="Times New Roman" w:hAnsi="Times New Roman" w:cs="Times New Roman"/>
                <w:sz w:val="24"/>
                <w:szCs w:val="24"/>
              </w:rPr>
              <w:t>A、B、C、D——卫生防护距离计算系数，见表7-9。</w:t>
            </w:r>
          </w:p>
          <w:p>
            <w:pPr>
              <w:spacing w:line="360" w:lineRule="auto"/>
              <w:ind w:firstLine="482"/>
              <w:jc w:val="center"/>
              <w:rPr>
                <w:rFonts w:hint="default" w:ascii="Times New Roman" w:hAnsi="Times New Roman" w:cs="Times New Roman"/>
                <w:b/>
                <w:sz w:val="24"/>
                <w:szCs w:val="24"/>
              </w:rPr>
            </w:pPr>
            <w:r>
              <w:rPr>
                <w:rFonts w:hint="default" w:ascii="Times New Roman" w:hAnsi="Times New Roman" w:cs="Times New Roman"/>
                <w:b/>
                <w:sz w:val="24"/>
                <w:szCs w:val="24"/>
              </w:rPr>
              <w:t>表7-9 卫生防护距离计算系数</w:t>
            </w:r>
          </w:p>
          <w:tbl>
            <w:tblPr>
              <w:tblStyle w:val="14"/>
              <w:tblW w:w="8077"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5"/>
              <w:gridCol w:w="953"/>
              <w:gridCol w:w="716"/>
              <w:gridCol w:w="718"/>
              <w:gridCol w:w="717"/>
              <w:gridCol w:w="709"/>
              <w:gridCol w:w="710"/>
              <w:gridCol w:w="709"/>
              <w:gridCol w:w="710"/>
              <w:gridCol w:w="710"/>
              <w:gridCol w:w="7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计算系数</w:t>
                  </w:r>
                </w:p>
              </w:tc>
              <w:tc>
                <w:tcPr>
                  <w:tcW w:w="953" w:type="dxa"/>
                  <w:vMerge w:val="restart"/>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5年平均风速（m/s）</w:t>
                  </w:r>
                </w:p>
              </w:tc>
              <w:tc>
                <w:tcPr>
                  <w:tcW w:w="6409" w:type="dxa"/>
                  <w:gridSpan w:val="9"/>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卫生防护距离L(m)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953"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2151" w:type="dxa"/>
                  <w:gridSpan w:val="3"/>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L≤1000</w:t>
                  </w:r>
                </w:p>
              </w:tc>
              <w:tc>
                <w:tcPr>
                  <w:tcW w:w="2128" w:type="dxa"/>
                  <w:gridSpan w:val="3"/>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1000＜L≤2000</w:t>
                  </w:r>
                </w:p>
              </w:tc>
              <w:tc>
                <w:tcPr>
                  <w:tcW w:w="2130" w:type="dxa"/>
                  <w:gridSpan w:val="3"/>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L＞2000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953"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6409" w:type="dxa"/>
                  <w:gridSpan w:val="9"/>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工业大气污染源构成类别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953"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716"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Ⅰ</w:t>
                  </w:r>
                </w:p>
              </w:tc>
              <w:tc>
                <w:tcPr>
                  <w:tcW w:w="718"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Ⅱ</w:t>
                  </w:r>
                </w:p>
              </w:tc>
              <w:tc>
                <w:tcPr>
                  <w:tcW w:w="717"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Ⅲ</w:t>
                  </w:r>
                </w:p>
              </w:tc>
              <w:tc>
                <w:tcPr>
                  <w:tcW w:w="709"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Ⅰ</w:t>
                  </w:r>
                </w:p>
              </w:tc>
              <w:tc>
                <w:tcPr>
                  <w:tcW w:w="710"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Ⅱ</w:t>
                  </w:r>
                </w:p>
              </w:tc>
              <w:tc>
                <w:tcPr>
                  <w:tcW w:w="709"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Ⅲ</w:t>
                  </w:r>
                </w:p>
              </w:tc>
              <w:tc>
                <w:tcPr>
                  <w:tcW w:w="710"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Ⅰ</w:t>
                  </w:r>
                </w:p>
              </w:tc>
              <w:tc>
                <w:tcPr>
                  <w:tcW w:w="710"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Ⅱ</w:t>
                  </w:r>
                </w:p>
              </w:tc>
              <w:tc>
                <w:tcPr>
                  <w:tcW w:w="710"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A</w:t>
                  </w: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16"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18"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17"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shd w:val="clear" w:color="auto" w:fill="auto"/>
                  <w:vAlign w:val="center"/>
                </w:tcPr>
                <w:p>
                  <w:pPr>
                    <w:snapToGrid w:val="0"/>
                    <w:spacing w:line="320" w:lineRule="atLeast"/>
                    <w:jc w:val="center"/>
                    <w:rPr>
                      <w:rFonts w:hint="default" w:ascii="Times New Roman" w:hAnsi="Times New Roman" w:cs="Times New Roman"/>
                      <w:sz w:val="21"/>
                      <w:szCs w:val="21"/>
                    </w:rPr>
                  </w:pPr>
                </w:p>
              </w:tc>
              <w:tc>
                <w:tcPr>
                  <w:tcW w:w="953"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716"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700</w:t>
                  </w:r>
                </w:p>
              </w:tc>
              <w:tc>
                <w:tcPr>
                  <w:tcW w:w="718" w:type="dxa"/>
                  <w:shd w:val="clear" w:color="auto" w:fill="BFBFBF"/>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470</w:t>
                  </w:r>
                </w:p>
              </w:tc>
              <w:tc>
                <w:tcPr>
                  <w:tcW w:w="717"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700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470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380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vAlign w:val="center"/>
                </w:tcPr>
                <w:p>
                  <w:pPr>
                    <w:snapToGrid w:val="0"/>
                    <w:spacing w:line="320" w:lineRule="atLeast"/>
                    <w:jc w:val="center"/>
                    <w:rPr>
                      <w:rFonts w:hint="default" w:ascii="Times New Roman" w:hAnsi="Times New Roman" w:cs="Times New Roman"/>
                      <w:sz w:val="21"/>
                      <w:szCs w:val="21"/>
                    </w:rPr>
                  </w:pP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716"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530</w:t>
                  </w:r>
                </w:p>
              </w:tc>
              <w:tc>
                <w:tcPr>
                  <w:tcW w:w="718"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717"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260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530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260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290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190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B</w:t>
                  </w: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0.01</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0.015</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shd w:val="clear" w:color="auto" w:fill="auto"/>
                  <w:vAlign w:val="center"/>
                </w:tcPr>
                <w:p>
                  <w:pPr>
                    <w:snapToGrid w:val="0"/>
                    <w:spacing w:line="320" w:lineRule="atLeast"/>
                    <w:jc w:val="center"/>
                    <w:rPr>
                      <w:rFonts w:hint="default" w:ascii="Times New Roman" w:hAnsi="Times New Roman" w:cs="Times New Roman"/>
                      <w:sz w:val="21"/>
                      <w:szCs w:val="21"/>
                    </w:rPr>
                  </w:pPr>
                </w:p>
              </w:tc>
              <w:tc>
                <w:tcPr>
                  <w:tcW w:w="953"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shd w:val="clear" w:color="auto" w:fill="BFBFBF"/>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0.021</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0.036</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0.036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C</w:t>
                  </w: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1.85</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1.79</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shd w:val="clear" w:color="auto" w:fill="auto"/>
                  <w:vAlign w:val="center"/>
                </w:tcPr>
                <w:p>
                  <w:pPr>
                    <w:snapToGrid w:val="0"/>
                    <w:spacing w:line="320" w:lineRule="atLeast"/>
                    <w:jc w:val="center"/>
                    <w:rPr>
                      <w:rFonts w:hint="default" w:ascii="Times New Roman" w:hAnsi="Times New Roman" w:cs="Times New Roman"/>
                      <w:sz w:val="21"/>
                      <w:szCs w:val="21"/>
                    </w:rPr>
                  </w:pPr>
                </w:p>
              </w:tc>
              <w:tc>
                <w:tcPr>
                  <w:tcW w:w="953"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shd w:val="clear" w:color="auto" w:fill="BFBFBF"/>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1.85</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1.77</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1.77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D</w:t>
                  </w: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0.78</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0.78</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0.57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shd w:val="clear" w:color="auto" w:fill="auto"/>
                  <w:vAlign w:val="center"/>
                </w:tcPr>
                <w:p>
                  <w:pPr>
                    <w:snapToGrid w:val="0"/>
                    <w:spacing w:line="320" w:lineRule="atLeast"/>
                    <w:jc w:val="center"/>
                    <w:rPr>
                      <w:rFonts w:hint="default" w:ascii="Times New Roman" w:hAnsi="Times New Roman" w:cs="Times New Roman"/>
                      <w:sz w:val="21"/>
                      <w:szCs w:val="21"/>
                    </w:rPr>
                  </w:pPr>
                </w:p>
              </w:tc>
              <w:tc>
                <w:tcPr>
                  <w:tcW w:w="953"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shd w:val="clear" w:color="auto" w:fill="BFBFBF"/>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0.84</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0.84</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0.76</w:t>
                  </w:r>
                </w:p>
              </w:tc>
            </w:tr>
          </w:tbl>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《制定地方大气污染物排放标准的技术方法》（GB/T13201-91）中的工业企业卫生防护距离公式进行计算，卫生防护距离所用参数和计算结果见表7-10。</w:t>
            </w:r>
          </w:p>
          <w:p>
            <w:pPr>
              <w:ind w:firstLine="482"/>
              <w:jc w:val="center"/>
              <w:rPr>
                <w:rFonts w:hint="default" w:ascii="Times New Roman" w:hAnsi="Times New Roman" w:cs="Times New Roman"/>
                <w:b/>
                <w:sz w:val="24"/>
                <w:szCs w:val="24"/>
              </w:rPr>
            </w:pPr>
            <w:r>
              <w:rPr>
                <w:rFonts w:hint="default" w:ascii="Times New Roman" w:hAnsi="Times New Roman" w:cs="Times New Roman"/>
                <w:b/>
                <w:sz w:val="24"/>
                <w:szCs w:val="24"/>
              </w:rPr>
              <w:t>表7-10 卫生防护距离计算参数和结果表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010"/>
              <w:gridCol w:w="1038"/>
              <w:gridCol w:w="912"/>
              <w:gridCol w:w="1129"/>
              <w:gridCol w:w="1363"/>
              <w:gridCol w:w="893"/>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62" w:type="dxa"/>
                  <w:vMerge w:val="restart"/>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污染面源</w:t>
                  </w:r>
                </w:p>
              </w:tc>
              <w:tc>
                <w:tcPr>
                  <w:tcW w:w="1010" w:type="dxa"/>
                  <w:vMerge w:val="restart"/>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污染物名称</w:t>
                  </w:r>
                </w:p>
              </w:tc>
              <w:tc>
                <w:tcPr>
                  <w:tcW w:w="1038" w:type="dxa"/>
                  <w:vMerge w:val="restart"/>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排放速率</w:t>
                  </w:r>
                </w:p>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（kg/h）</w:t>
                  </w:r>
                </w:p>
              </w:tc>
              <w:tc>
                <w:tcPr>
                  <w:tcW w:w="2041" w:type="dxa"/>
                  <w:gridSpan w:val="2"/>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排放源参数</w:t>
                  </w:r>
                </w:p>
              </w:tc>
              <w:tc>
                <w:tcPr>
                  <w:tcW w:w="1363" w:type="dxa"/>
                  <w:vMerge w:val="restart"/>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评价标准</w:t>
                  </w:r>
                </w:p>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（mg/m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w:t>
                  </w:r>
                </w:p>
              </w:tc>
              <w:tc>
                <w:tcPr>
                  <w:tcW w:w="893" w:type="dxa"/>
                  <w:vMerge w:val="restart"/>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b/>
                      <w:bCs/>
                      <w:sz w:val="21"/>
                      <w:szCs w:val="21"/>
                    </w:rPr>
                    <w:t>卫生防护距离计算值(m)</w:t>
                  </w:r>
                </w:p>
              </w:tc>
              <w:tc>
                <w:tcPr>
                  <w:tcW w:w="895" w:type="dxa"/>
                  <w:vMerge w:val="restart"/>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b/>
                      <w:bCs/>
                      <w:sz w:val="21"/>
                      <w:szCs w:val="21"/>
                    </w:rPr>
                    <w:t>卫生防护距离定值(m)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1062" w:type="dxa"/>
                  <w:vMerge w:val="continue"/>
                  <w:vAlign w:val="center"/>
                </w:tcPr>
                <w:p>
                  <w:pPr>
                    <w:ind w:firstLine="420" w:firstLineChars="200"/>
                    <w:rPr>
                      <w:rFonts w:hint="default" w:ascii="Times New Roman" w:hAnsi="Times New Roman" w:cs="Times New Roman"/>
                      <w:sz w:val="21"/>
                      <w:szCs w:val="21"/>
                    </w:rPr>
                  </w:pPr>
                </w:p>
              </w:tc>
              <w:tc>
                <w:tcPr>
                  <w:tcW w:w="1010" w:type="dxa"/>
                  <w:vMerge w:val="continue"/>
                  <w:vAlign w:val="center"/>
                </w:tcPr>
                <w:p>
                  <w:pPr>
                    <w:ind w:firstLine="420" w:firstLineChars="200"/>
                    <w:rPr>
                      <w:rFonts w:hint="default" w:ascii="Times New Roman" w:hAnsi="Times New Roman" w:cs="Times New Roman"/>
                      <w:sz w:val="21"/>
                      <w:szCs w:val="21"/>
                    </w:rPr>
                  </w:pPr>
                </w:p>
              </w:tc>
              <w:tc>
                <w:tcPr>
                  <w:tcW w:w="1038" w:type="dxa"/>
                  <w:vMerge w:val="continue"/>
                  <w:vAlign w:val="center"/>
                </w:tcPr>
                <w:p>
                  <w:pPr>
                    <w:ind w:firstLine="420" w:firstLineChars="200"/>
                    <w:rPr>
                      <w:rFonts w:hint="default" w:ascii="Times New Roman" w:hAnsi="Times New Roman" w:cs="Times New Roman"/>
                      <w:sz w:val="21"/>
                      <w:szCs w:val="21"/>
                    </w:rPr>
                  </w:pPr>
                </w:p>
              </w:tc>
              <w:tc>
                <w:tcPr>
                  <w:tcW w:w="912" w:type="dxa"/>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高度（m）</w:t>
                  </w:r>
                </w:p>
              </w:tc>
              <w:tc>
                <w:tcPr>
                  <w:tcW w:w="1129" w:type="dxa"/>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面积（m</w:t>
                  </w:r>
                  <w:r>
                    <w:rPr>
                      <w:rFonts w:hint="default" w:ascii="Times New Roman" w:hAnsi="Times New Roman" w:cs="Times New Roman"/>
                      <w:b/>
                      <w:bCs/>
                      <w:sz w:val="21"/>
                      <w:szCs w:val="21"/>
                      <w:vertAlign w:val="superscript"/>
                    </w:rPr>
                    <w:t>2</w:t>
                  </w:r>
                  <w:r>
                    <w:rPr>
                      <w:rFonts w:hint="default" w:ascii="Times New Roman" w:hAnsi="Times New Roman" w:cs="Times New Roman"/>
                      <w:b/>
                      <w:bCs/>
                      <w:sz w:val="21"/>
                      <w:szCs w:val="21"/>
                    </w:rPr>
                    <w:t>）</w:t>
                  </w:r>
                </w:p>
              </w:tc>
              <w:tc>
                <w:tcPr>
                  <w:tcW w:w="1363" w:type="dxa"/>
                  <w:vMerge w:val="continue"/>
                  <w:vAlign w:val="center"/>
                </w:tcPr>
                <w:p>
                  <w:pPr>
                    <w:ind w:firstLine="420" w:firstLineChars="200"/>
                    <w:rPr>
                      <w:rFonts w:hint="default" w:ascii="Times New Roman" w:hAnsi="Times New Roman" w:cs="Times New Roman"/>
                      <w:sz w:val="21"/>
                      <w:szCs w:val="21"/>
                    </w:rPr>
                  </w:pPr>
                </w:p>
              </w:tc>
              <w:tc>
                <w:tcPr>
                  <w:tcW w:w="893" w:type="dxa"/>
                  <w:vMerge w:val="continue"/>
                  <w:vAlign w:val="center"/>
                </w:tcPr>
                <w:p>
                  <w:pPr>
                    <w:ind w:firstLine="420" w:firstLineChars="200"/>
                    <w:rPr>
                      <w:rFonts w:hint="default" w:ascii="Times New Roman" w:hAnsi="Times New Roman" w:cs="Times New Roman"/>
                      <w:sz w:val="21"/>
                      <w:szCs w:val="21"/>
                    </w:rPr>
                  </w:pPr>
                </w:p>
              </w:tc>
              <w:tc>
                <w:tcPr>
                  <w:tcW w:w="895" w:type="dxa"/>
                  <w:vMerge w:val="continue"/>
                  <w:vAlign w:val="center"/>
                </w:tcPr>
                <w:p>
                  <w:pPr>
                    <w:ind w:firstLine="420" w:firstLineChars="200"/>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1062" w:type="dxa"/>
                  <w:vMerge w:val="restart"/>
                  <w:tcBorders>
                    <w:top w:val="single" w:color="000000" w:sz="4" w:space="0"/>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电位计生产车间</w:t>
                  </w:r>
                </w:p>
              </w:tc>
              <w:tc>
                <w:tcPr>
                  <w:tcW w:w="1010"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锡及其化合物</w:t>
                  </w:r>
                </w:p>
              </w:tc>
              <w:tc>
                <w:tcPr>
                  <w:tcW w:w="1038"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000</w:t>
                  </w:r>
                  <w:r>
                    <w:rPr>
                      <w:rFonts w:hint="eastAsia" w:ascii="Times New Roman" w:hAnsi="Times New Roman" w:cs="Times New Roman"/>
                      <w:sz w:val="21"/>
                      <w:szCs w:val="21"/>
                      <w:lang w:val="en-US" w:eastAsia="zh-CN"/>
                    </w:rPr>
                    <w:t>4</w:t>
                  </w:r>
                </w:p>
              </w:tc>
              <w:tc>
                <w:tcPr>
                  <w:tcW w:w="912" w:type="dxa"/>
                  <w:vMerge w:val="restar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w:t>
                  </w:r>
                </w:p>
              </w:tc>
              <w:tc>
                <w:tcPr>
                  <w:tcW w:w="1129" w:type="dxa"/>
                  <w:vMerge w:val="restar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600</w:t>
                  </w:r>
                </w:p>
              </w:tc>
              <w:tc>
                <w:tcPr>
                  <w:tcW w:w="1363" w:type="dxa"/>
                  <w:vAlign w:val="center"/>
                </w:tcPr>
                <w:p>
                  <w:pPr>
                    <w:ind w:firstLine="420" w:firstLineChars="200"/>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06</w:t>
                  </w:r>
                </w:p>
              </w:tc>
              <w:tc>
                <w:tcPr>
                  <w:tcW w:w="893" w:type="dxa"/>
                  <w:vAlign w:val="center"/>
                </w:tcPr>
                <w:p>
                  <w:pPr>
                    <w:jc w:val="center"/>
                    <w:rPr>
                      <w:rFonts w:hint="default" w:ascii="Times New Roman" w:hAnsi="Times New Roman" w:cs="Times New Roman"/>
                      <w:sz w:val="21"/>
                      <w:szCs w:val="21"/>
                    </w:rPr>
                  </w:pPr>
                  <w:r>
                    <w:rPr>
                      <w:rFonts w:hint="default" w:ascii="Times New Roman" w:hAnsi="Times New Roman" w:cs="Times New Roman"/>
                    </w:rPr>
                    <w:t>0.038</w:t>
                  </w:r>
                </w:p>
              </w:tc>
              <w:tc>
                <w:tcPr>
                  <w:tcW w:w="895" w:type="dxa"/>
                  <w:vMerge w:val="restart"/>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1062" w:type="dxa"/>
                  <w:vMerge w:val="continue"/>
                  <w:vAlign w:val="center"/>
                </w:tcPr>
                <w:p>
                  <w:pPr>
                    <w:jc w:val="center"/>
                    <w:rPr>
                      <w:rFonts w:hint="default" w:ascii="Times New Roman" w:hAnsi="Times New Roman" w:cs="Times New Roman"/>
                      <w:sz w:val="21"/>
                      <w:szCs w:val="21"/>
                    </w:rPr>
                  </w:pPr>
                </w:p>
              </w:tc>
              <w:tc>
                <w:tcPr>
                  <w:tcW w:w="1010"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非甲烷总烃</w:t>
                  </w:r>
                </w:p>
              </w:tc>
              <w:tc>
                <w:tcPr>
                  <w:tcW w:w="1038" w:type="dxa"/>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0.0002</w:t>
                  </w:r>
                </w:p>
              </w:tc>
              <w:tc>
                <w:tcPr>
                  <w:tcW w:w="912" w:type="dxa"/>
                  <w:vMerge w:val="continue"/>
                  <w:vAlign w:val="center"/>
                </w:tcPr>
                <w:p>
                  <w:pPr>
                    <w:spacing w:line="320" w:lineRule="exact"/>
                    <w:jc w:val="center"/>
                    <w:rPr>
                      <w:rFonts w:hint="default" w:ascii="Times New Roman" w:hAnsi="Times New Roman" w:cs="Times New Roman"/>
                      <w:sz w:val="21"/>
                      <w:szCs w:val="21"/>
                    </w:rPr>
                  </w:pPr>
                </w:p>
              </w:tc>
              <w:tc>
                <w:tcPr>
                  <w:tcW w:w="1129" w:type="dxa"/>
                  <w:vMerge w:val="continue"/>
                  <w:vAlign w:val="center"/>
                </w:tcPr>
                <w:p>
                  <w:pPr>
                    <w:spacing w:line="320" w:lineRule="exact"/>
                    <w:jc w:val="center"/>
                    <w:rPr>
                      <w:rFonts w:hint="default" w:ascii="Times New Roman" w:hAnsi="Times New Roman" w:cs="Times New Roman"/>
                      <w:sz w:val="21"/>
                      <w:szCs w:val="21"/>
                    </w:rPr>
                  </w:pPr>
                </w:p>
              </w:tc>
              <w:tc>
                <w:tcPr>
                  <w:tcW w:w="1363" w:type="dxa"/>
                  <w:vAlign w:val="center"/>
                </w:tcPr>
                <w:p>
                  <w:pPr>
                    <w:ind w:firstLine="420" w:firstLineChars="200"/>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w:t>
                  </w:r>
                </w:p>
              </w:tc>
              <w:tc>
                <w:tcPr>
                  <w:tcW w:w="893" w:type="dxa"/>
                  <w:vAlign w:val="center"/>
                </w:tcPr>
                <w:p>
                  <w:pPr>
                    <w:jc w:val="center"/>
                    <w:rPr>
                      <w:rFonts w:hint="default" w:ascii="Times New Roman" w:hAnsi="Times New Roman" w:cs="Times New Roman"/>
                      <w:sz w:val="21"/>
                      <w:szCs w:val="21"/>
                    </w:rPr>
                  </w:pPr>
                  <w:r>
                    <w:rPr>
                      <w:rFonts w:hint="default" w:ascii="Times New Roman" w:hAnsi="Times New Roman" w:cs="Times New Roman"/>
                    </w:rPr>
                    <w:t>0.454</w:t>
                  </w:r>
                </w:p>
              </w:tc>
              <w:tc>
                <w:tcPr>
                  <w:tcW w:w="895" w:type="dxa"/>
                  <w:vMerge w:val="continue"/>
                  <w:vAlign w:val="center"/>
                </w:tcPr>
                <w:p>
                  <w:pPr>
                    <w:jc w:val="center"/>
                    <w:rPr>
                      <w:rFonts w:hint="default" w:ascii="Times New Roman" w:hAnsi="Times New Roman" w:cs="Times New Roman"/>
                      <w:sz w:val="21"/>
                      <w:szCs w:val="21"/>
                    </w:rPr>
                  </w:pPr>
                </w:p>
              </w:tc>
            </w:tr>
          </w:tbl>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制定地方大气污染物排放标准的技术方法》（GB/T13201-91），卫生防护距离在100米以内时，级差为50米；超过100米，但小于或等于1000米时，级差为100米；超过1000米时，级差为200米。当按两种或两种以上的有害气体计算的卫生防护距离在同一级别时，该类工业企业的卫生防护距离级别应提高一级。</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因此，本项目卫生防护距离为以</w:t>
            </w:r>
            <w:r>
              <w:rPr>
                <w:rFonts w:hint="default" w:ascii="Times New Roman" w:hAnsi="Times New Roman" w:cs="Times New Roman"/>
                <w:sz w:val="24"/>
                <w:szCs w:val="24"/>
                <w:lang w:val="en-US" w:eastAsia="zh-CN"/>
              </w:rPr>
              <w:t>生产车间</w:t>
            </w:r>
            <w:r>
              <w:rPr>
                <w:rFonts w:hint="default" w:ascii="Times New Roman" w:hAnsi="Times New Roman" w:cs="Times New Roman"/>
                <w:sz w:val="24"/>
                <w:szCs w:val="24"/>
              </w:rPr>
              <w:t>外扩</w:t>
            </w:r>
            <w:r>
              <w:rPr>
                <w:rFonts w:hint="default" w:ascii="Times New Roman" w:hAnsi="Times New Roman" w:cs="Times New Roman"/>
                <w:sz w:val="24"/>
                <w:szCs w:val="24"/>
                <w:lang w:val="en-US" w:eastAsia="zh-CN"/>
              </w:rPr>
              <w:t>10</w:t>
            </w:r>
            <w:r>
              <w:rPr>
                <w:rFonts w:hint="default" w:ascii="Times New Roman" w:hAnsi="Times New Roman" w:cs="Times New Roman"/>
                <w:sz w:val="24"/>
                <w:szCs w:val="24"/>
              </w:rPr>
              <w:t>0米形成的包络线。目前该卫生防护距离包络线范围内无敏感保护目标，以后也不得在卫生防护距离内建设居住区等环境敏感目标，以避免环境纠纷。</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（4）污染物排放量核算</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本项目大气污染物无组织排放量核算见下表。</w:t>
            </w:r>
          </w:p>
          <w:p>
            <w:pPr>
              <w:pStyle w:val="17"/>
              <w:spacing w:line="360" w:lineRule="auto"/>
              <w:ind w:firstLine="482" w:firstLineChars="200"/>
              <w:jc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b/>
                <w:color w:val="auto"/>
                <w:sz w:val="24"/>
                <w:szCs w:val="24"/>
              </w:rPr>
              <w:t xml:space="preserve">表7-12 </w:t>
            </w:r>
            <w:r>
              <w:rPr>
                <w:rFonts w:hint="default" w:ascii="Times New Roman" w:hAnsi="Times New Roman" w:eastAsia="宋体" w:cs="Times New Roman"/>
                <w:b/>
                <w:color w:val="auto"/>
                <w:kern w:val="2"/>
                <w:sz w:val="24"/>
                <w:szCs w:val="24"/>
              </w:rPr>
              <w:t>本项目大气污染物无组织排放量核算</w:t>
            </w:r>
          </w:p>
          <w:tbl>
            <w:tblPr>
              <w:tblStyle w:val="14"/>
              <w:tblW w:w="8306"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6"/>
              <w:gridCol w:w="638"/>
              <w:gridCol w:w="1203"/>
              <w:gridCol w:w="885"/>
              <w:gridCol w:w="990"/>
              <w:gridCol w:w="2280"/>
              <w:gridCol w:w="870"/>
              <w:gridCol w:w="10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9" w:hRule="atLeast"/>
                <w:tblHeader/>
                <w:jc w:val="center"/>
              </w:trPr>
              <w:tc>
                <w:tcPr>
                  <w:tcW w:w="426"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638"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排放口编号</w:t>
                  </w:r>
                </w:p>
              </w:tc>
              <w:tc>
                <w:tcPr>
                  <w:tcW w:w="1203"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产污</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环节</w:t>
                  </w:r>
                </w:p>
              </w:tc>
              <w:tc>
                <w:tcPr>
                  <w:tcW w:w="885"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990"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主要污染防治措施</w:t>
                  </w:r>
                </w:p>
              </w:tc>
              <w:tc>
                <w:tcPr>
                  <w:tcW w:w="3150" w:type="dxa"/>
                  <w:gridSpan w:val="2"/>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国家或地方污染物排放标准</w:t>
                  </w:r>
                </w:p>
              </w:tc>
              <w:tc>
                <w:tcPr>
                  <w:tcW w:w="1014"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年排放量（t/a）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1" w:hRule="atLeast"/>
                <w:tblHeader/>
                <w:jc w:val="center"/>
              </w:trPr>
              <w:tc>
                <w:tcPr>
                  <w:tcW w:w="426"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638"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1203"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885"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990"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2280" w:type="dxa"/>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标准名称</w:t>
                  </w:r>
                </w:p>
              </w:tc>
              <w:tc>
                <w:tcPr>
                  <w:tcW w:w="870" w:type="dxa"/>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浓度限值</w:t>
                  </w:r>
                </w:p>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μ</w:t>
                  </w:r>
                  <w:r>
                    <w:rPr>
                      <w:rFonts w:hint="default" w:ascii="Times New Roman" w:hAnsi="Times New Roman" w:eastAsia="宋体" w:cs="Times New Roman"/>
                      <w:sz w:val="21"/>
                      <w:szCs w:val="21"/>
                    </w:rPr>
                    <w:t>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014" w:type="dxa"/>
                  <w:vMerge w:val="continue"/>
                  <w:vAlign w:val="center"/>
                </w:tcPr>
                <w:p>
                  <w:pPr>
                    <w:pStyle w:val="43"/>
                    <w:spacing w:before="24" w:after="24"/>
                    <w:jc w:val="center"/>
                    <w:rPr>
                      <w:rFonts w:hint="default" w:ascii="Times New Roman" w:hAnsi="Times New Roman" w:eastAsia="宋体"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1" w:hRule="atLeast"/>
                <w:tblHeader/>
                <w:jc w:val="center"/>
              </w:trPr>
              <w:tc>
                <w:tcPr>
                  <w:tcW w:w="426"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638" w:type="dxa"/>
                  <w:vMerge w:val="restart"/>
                  <w:shd w:val="clear" w:color="auto" w:fill="auto"/>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生产车间</w:t>
                  </w:r>
                </w:p>
              </w:tc>
              <w:tc>
                <w:tcPr>
                  <w:tcW w:w="120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eastAsia" w:ascii="Times New Roman" w:hAnsi="Times New Roman" w:eastAsia="宋体" w:cs="Times New Roman"/>
                      <w:i w:val="0"/>
                      <w:color w:val="000000"/>
                      <w:kern w:val="0"/>
                      <w:sz w:val="22"/>
                      <w:szCs w:val="22"/>
                      <w:u w:val="none"/>
                      <w:lang w:val="en-US" w:eastAsia="zh-CN" w:bidi="ar"/>
                    </w:rPr>
                    <w:t>焊接烟尘</w:t>
                  </w:r>
                </w:p>
              </w:tc>
              <w:tc>
                <w:tcPr>
                  <w:tcW w:w="885" w:type="dxa"/>
                  <w:shd w:val="clear" w:color="auto" w:fill="auto"/>
                  <w:vAlign w:val="center"/>
                </w:tcPr>
                <w:p>
                  <w:pPr>
                    <w:pStyle w:val="43"/>
                    <w:spacing w:before="31" w:after="31"/>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lang w:val="en-US" w:eastAsia="zh-CN"/>
                    </w:rPr>
                    <w:t>锡及其化合物</w:t>
                  </w:r>
                  <w:r>
                    <w:rPr>
                      <w:rFonts w:hint="eastAsia" w:ascii="Times New Roman" w:hAnsi="Times New Roman" w:eastAsia="宋体" w:cs="Times New Roman"/>
                      <w:sz w:val="21"/>
                      <w:szCs w:val="21"/>
                      <w:lang w:val="en-US" w:eastAsia="zh-CN"/>
                    </w:rPr>
                    <w:t>）</w:t>
                  </w:r>
                </w:p>
              </w:tc>
              <w:tc>
                <w:tcPr>
                  <w:tcW w:w="990" w:type="dxa"/>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移动式除尘</w:t>
                  </w:r>
                </w:p>
              </w:tc>
              <w:tc>
                <w:tcPr>
                  <w:tcW w:w="2280" w:type="dxa"/>
                  <w:vAlign w:val="center"/>
                </w:tcPr>
                <w:p>
                  <w:pPr>
                    <w:jc w:val="center"/>
                    <w:rPr>
                      <w:rFonts w:hint="default" w:ascii="Times New Roman" w:hAnsi="Times New Roman" w:cs="Times New Roman"/>
                      <w:bCs/>
                      <w:sz w:val="21"/>
                      <w:szCs w:val="21"/>
                    </w:rPr>
                  </w:pPr>
                  <w:r>
                    <w:rPr>
                      <w:rFonts w:hint="default" w:ascii="Times New Roman" w:hAnsi="Times New Roman" w:cs="Times New Roman"/>
                      <w:spacing w:val="-6"/>
                      <w:sz w:val="21"/>
                      <w:szCs w:val="21"/>
                    </w:rPr>
                    <w:t>《大气污染物综合排放标准》（GB16297-1996）表2</w:t>
                  </w:r>
                </w:p>
              </w:tc>
              <w:tc>
                <w:tcPr>
                  <w:tcW w:w="870" w:type="dxa"/>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240</w:t>
                  </w:r>
                </w:p>
              </w:tc>
              <w:tc>
                <w:tcPr>
                  <w:tcW w:w="1014"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i w:val="0"/>
                      <w:color w:val="000000"/>
                      <w:sz w:val="21"/>
                      <w:szCs w:val="21"/>
                      <w:u w:val="none"/>
                      <w:lang w:val="en-US" w:eastAsia="zh-CN"/>
                    </w:rPr>
                    <w:t>0.00095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27" w:hRule="atLeast"/>
                <w:tblHeader/>
                <w:jc w:val="center"/>
              </w:trPr>
              <w:tc>
                <w:tcPr>
                  <w:tcW w:w="426" w:type="dxa"/>
                  <w:vAlign w:val="center"/>
                </w:tcPr>
                <w:p>
                  <w:pPr>
                    <w:pStyle w:val="43"/>
                    <w:spacing w:before="24" w:after="24"/>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2</w:t>
                  </w:r>
                </w:p>
              </w:tc>
              <w:tc>
                <w:tcPr>
                  <w:tcW w:w="638"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1203"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i w:val="0"/>
                      <w:color w:val="000000"/>
                      <w:kern w:val="0"/>
                      <w:sz w:val="22"/>
                      <w:szCs w:val="22"/>
                      <w:u w:val="none"/>
                      <w:lang w:val="en-US" w:eastAsia="zh-CN" w:bidi="ar"/>
                    </w:rPr>
                    <w:t>注塑</w:t>
                  </w:r>
                  <w:r>
                    <w:rPr>
                      <w:rFonts w:hint="default" w:ascii="Times New Roman" w:hAnsi="Times New Roman" w:eastAsia="宋体" w:cs="Times New Roman"/>
                      <w:i w:val="0"/>
                      <w:color w:val="000000"/>
                      <w:kern w:val="0"/>
                      <w:sz w:val="22"/>
                      <w:szCs w:val="22"/>
                      <w:u w:val="none"/>
                      <w:lang w:val="en-US" w:eastAsia="zh-CN" w:bidi="ar"/>
                    </w:rPr>
                    <w:t>废气</w:t>
                  </w:r>
                </w:p>
              </w:tc>
              <w:tc>
                <w:tcPr>
                  <w:tcW w:w="885" w:type="dxa"/>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VOCs</w:t>
                  </w:r>
                </w:p>
              </w:tc>
              <w:tc>
                <w:tcPr>
                  <w:tcW w:w="990" w:type="dxa"/>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光催化氧化+活性炭吸附</w:t>
                  </w:r>
                </w:p>
              </w:tc>
              <w:tc>
                <w:tcPr>
                  <w:tcW w:w="2280" w:type="dxa"/>
                  <w:vAlign w:val="center"/>
                </w:tcPr>
                <w:p>
                  <w:pPr>
                    <w:jc w:val="center"/>
                    <w:rPr>
                      <w:rFonts w:hint="eastAsia" w:ascii="Times New Roman" w:hAnsi="Times New Roman" w:cs="Times New Roman" w:eastAsiaTheme="minorEastAsia"/>
                      <w:bCs/>
                      <w:sz w:val="21"/>
                      <w:szCs w:val="21"/>
                      <w:lang w:eastAsia="zh-CN"/>
                    </w:rPr>
                  </w:pPr>
                  <w:r>
                    <w:rPr>
                      <w:rFonts w:hint="eastAsia" w:ascii="Times New Roman" w:hAnsi="Times New Roman" w:cs="Times New Roman"/>
                      <w:bCs/>
                      <w:sz w:val="21"/>
                      <w:szCs w:val="21"/>
                      <w:lang w:eastAsia="zh-CN"/>
                    </w:rPr>
                    <w:t>《</w:t>
                  </w:r>
                  <w:r>
                    <w:rPr>
                      <w:rFonts w:hint="eastAsia" w:ascii="Times New Roman" w:hAnsi="Times New Roman" w:cs="Times New Roman"/>
                      <w:bCs/>
                      <w:sz w:val="21"/>
                      <w:szCs w:val="21"/>
                      <w:lang w:val="en-US" w:eastAsia="zh-CN"/>
                    </w:rPr>
                    <w:t>合成树脂工业污染物排放标准</w:t>
                  </w:r>
                  <w:r>
                    <w:rPr>
                      <w:rFonts w:hint="eastAsia" w:ascii="Times New Roman" w:hAnsi="Times New Roman" w:cs="Times New Roman"/>
                      <w:bCs/>
                      <w:sz w:val="21"/>
                      <w:szCs w:val="21"/>
                      <w:lang w:eastAsia="zh-CN"/>
                    </w:rPr>
                    <w:t>》（</w:t>
                  </w:r>
                  <w:r>
                    <w:rPr>
                      <w:rFonts w:hint="eastAsia" w:ascii="Times New Roman" w:hAnsi="Times New Roman" w:cs="Times New Roman"/>
                      <w:bCs/>
                      <w:sz w:val="21"/>
                      <w:szCs w:val="21"/>
                      <w:lang w:val="en-US" w:eastAsia="zh-CN"/>
                    </w:rPr>
                    <w:t>GB 31572-2015</w:t>
                  </w:r>
                  <w:r>
                    <w:rPr>
                      <w:rFonts w:hint="eastAsia" w:ascii="Times New Roman" w:hAnsi="Times New Roman" w:cs="Times New Roman"/>
                      <w:bCs/>
                      <w:sz w:val="21"/>
                      <w:szCs w:val="21"/>
                      <w:lang w:eastAsia="zh-CN"/>
                    </w:rPr>
                    <w:t>）</w:t>
                  </w:r>
                </w:p>
              </w:tc>
              <w:tc>
                <w:tcPr>
                  <w:tcW w:w="870" w:type="dxa"/>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60000</w:t>
                  </w:r>
                </w:p>
              </w:tc>
              <w:tc>
                <w:tcPr>
                  <w:tcW w:w="1014" w:type="dxa"/>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0.00006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6" w:hRule="atLeast"/>
                <w:tblHeader/>
                <w:jc w:val="center"/>
              </w:trPr>
              <w:tc>
                <w:tcPr>
                  <w:tcW w:w="8306" w:type="dxa"/>
                  <w:gridSpan w:val="8"/>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无组织排放总计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26" w:hRule="atLeast"/>
                <w:tblHeader/>
                <w:jc w:val="center"/>
              </w:trPr>
              <w:tc>
                <w:tcPr>
                  <w:tcW w:w="3152" w:type="dxa"/>
                  <w:gridSpan w:val="4"/>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无组织排放总计</w:t>
                  </w:r>
                </w:p>
              </w:tc>
              <w:tc>
                <w:tcPr>
                  <w:tcW w:w="3270" w:type="dxa"/>
                  <w:gridSpan w:val="2"/>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88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i w:val="0"/>
                      <w:color w:val="000000"/>
                      <w:sz w:val="21"/>
                      <w:szCs w:val="21"/>
                      <w:u w:val="none"/>
                      <w:lang w:val="en-US" w:eastAsia="zh-CN"/>
                    </w:rPr>
                    <w:t>0.00095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26" w:hRule="atLeast"/>
                <w:tblHeader/>
                <w:jc w:val="center"/>
              </w:trPr>
              <w:tc>
                <w:tcPr>
                  <w:tcW w:w="3152" w:type="dxa"/>
                  <w:gridSpan w:val="4"/>
                  <w:vMerge w:val="continue"/>
                  <w:vAlign w:val="center"/>
                </w:tcPr>
                <w:p>
                  <w:pPr>
                    <w:pStyle w:val="43"/>
                    <w:spacing w:before="24" w:after="24"/>
                    <w:jc w:val="center"/>
                    <w:rPr>
                      <w:rFonts w:hint="default" w:ascii="Times New Roman" w:hAnsi="Times New Roman" w:eastAsia="宋体" w:cs="Times New Roman"/>
                      <w:sz w:val="21"/>
                      <w:szCs w:val="21"/>
                    </w:rPr>
                  </w:pPr>
                </w:p>
              </w:tc>
              <w:tc>
                <w:tcPr>
                  <w:tcW w:w="3270" w:type="dxa"/>
                  <w:gridSpan w:val="2"/>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VOCs</w:t>
                  </w:r>
                </w:p>
              </w:tc>
              <w:tc>
                <w:tcPr>
                  <w:tcW w:w="1884" w:type="dxa"/>
                  <w:gridSpan w:val="2"/>
                  <w:vAlign w:val="center"/>
                </w:tcPr>
                <w:p>
                  <w:pPr>
                    <w:pStyle w:val="43"/>
                    <w:spacing w:before="24" w:after="24"/>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0.00006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05" w:hRule="atLeast"/>
                <w:tblHeader/>
                <w:jc w:val="center"/>
              </w:trPr>
              <w:tc>
                <w:tcPr>
                  <w:tcW w:w="3152" w:type="dxa"/>
                  <w:gridSpan w:val="4"/>
                  <w:vMerge w:val="continue"/>
                  <w:vAlign w:val="center"/>
                </w:tcPr>
                <w:p>
                  <w:pPr>
                    <w:pStyle w:val="43"/>
                    <w:spacing w:before="24" w:after="24"/>
                    <w:jc w:val="center"/>
                    <w:rPr>
                      <w:rFonts w:hint="default" w:ascii="Times New Roman" w:hAnsi="Times New Roman" w:eastAsia="宋体" w:cs="Times New Roman"/>
                      <w:sz w:val="21"/>
                      <w:szCs w:val="21"/>
                    </w:rPr>
                  </w:pPr>
                </w:p>
              </w:tc>
              <w:tc>
                <w:tcPr>
                  <w:tcW w:w="3270" w:type="dxa"/>
                  <w:gridSpan w:val="2"/>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884" w:type="dxa"/>
                  <w:gridSpan w:val="2"/>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05" w:hRule="atLeast"/>
                <w:tblHeader/>
                <w:jc w:val="center"/>
              </w:trPr>
              <w:tc>
                <w:tcPr>
                  <w:tcW w:w="3152" w:type="dxa"/>
                  <w:gridSpan w:val="4"/>
                  <w:vMerge w:val="continue"/>
                  <w:vAlign w:val="center"/>
                </w:tcPr>
                <w:p>
                  <w:pPr>
                    <w:pStyle w:val="43"/>
                    <w:spacing w:before="24" w:after="24"/>
                    <w:jc w:val="center"/>
                    <w:rPr>
                      <w:rFonts w:hint="default" w:ascii="Times New Roman" w:hAnsi="Times New Roman" w:eastAsia="宋体" w:cs="Times New Roman"/>
                      <w:sz w:val="21"/>
                      <w:szCs w:val="21"/>
                    </w:rPr>
                  </w:pPr>
                </w:p>
              </w:tc>
              <w:tc>
                <w:tcPr>
                  <w:tcW w:w="3270" w:type="dxa"/>
                  <w:gridSpan w:val="2"/>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i/>
                      <w:sz w:val="21"/>
                      <w:szCs w:val="21"/>
                      <w:vertAlign w:val="subscript"/>
                    </w:rPr>
                    <w:t>x</w:t>
                  </w:r>
                </w:p>
              </w:tc>
              <w:tc>
                <w:tcPr>
                  <w:tcW w:w="1884" w:type="dxa"/>
                  <w:gridSpan w:val="2"/>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bl>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本项目大气污染物年排放量核算见下表。</w:t>
            </w:r>
          </w:p>
          <w:p>
            <w:pPr>
              <w:pStyle w:val="17"/>
              <w:spacing w:line="360" w:lineRule="auto"/>
              <w:ind w:firstLine="482" w:firstLineChars="200"/>
              <w:jc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b/>
                <w:color w:val="auto"/>
                <w:sz w:val="24"/>
                <w:szCs w:val="24"/>
              </w:rPr>
              <w:t xml:space="preserve">表7-13 </w:t>
            </w:r>
            <w:r>
              <w:rPr>
                <w:rFonts w:hint="default" w:ascii="Times New Roman" w:hAnsi="Times New Roman" w:eastAsia="宋体" w:cs="Times New Roman"/>
                <w:b/>
                <w:color w:val="auto"/>
                <w:kern w:val="2"/>
                <w:sz w:val="24"/>
                <w:szCs w:val="24"/>
              </w:rPr>
              <w:t>本项目大气污染物年排放量核算</w:t>
            </w:r>
          </w:p>
          <w:tbl>
            <w:tblPr>
              <w:tblStyle w:val="14"/>
              <w:tblW w:w="8306"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77"/>
              <w:gridCol w:w="3138"/>
              <w:gridCol w:w="32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tblHeader/>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3138"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3291"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年排放量（t/a）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138"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颗粒物</w:t>
                  </w:r>
                </w:p>
              </w:tc>
              <w:tc>
                <w:tcPr>
                  <w:tcW w:w="3291" w:type="dxa"/>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宋体" w:cs="Times New Roman"/>
                      <w:i w:val="0"/>
                      <w:color w:val="000000"/>
                      <w:sz w:val="21"/>
                      <w:szCs w:val="21"/>
                      <w:u w:val="none"/>
                      <w:lang w:val="en-US" w:eastAsia="zh-CN"/>
                    </w:rPr>
                    <w:t>0.00095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3138" w:type="dxa"/>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VOCs</w:t>
                  </w:r>
                </w:p>
              </w:tc>
              <w:tc>
                <w:tcPr>
                  <w:tcW w:w="3291" w:type="dxa"/>
                  <w:vAlign w:val="center"/>
                </w:tcPr>
                <w:p>
                  <w:pPr>
                    <w:jc w:val="center"/>
                    <w:rPr>
                      <w:rFonts w:hint="default" w:ascii="Times New Roman" w:hAnsi="Times New Roman" w:eastAsia="等线" w:cs="Times New Roman"/>
                      <w:sz w:val="21"/>
                      <w:szCs w:val="21"/>
                      <w:lang w:val="en-US" w:eastAsia="zh-CN"/>
                    </w:rPr>
                  </w:pPr>
                  <w:r>
                    <w:rPr>
                      <w:rFonts w:hint="default" w:ascii="Times New Roman" w:hAnsi="Times New Roman" w:eastAsia="等线" w:cs="Times New Roman"/>
                      <w:sz w:val="21"/>
                      <w:szCs w:val="21"/>
                      <w:lang w:val="en-US" w:eastAsia="zh-CN"/>
                    </w:rPr>
                    <w:t>0.</w:t>
                  </w:r>
                  <w:r>
                    <w:rPr>
                      <w:rFonts w:hint="eastAsia" w:ascii="Times New Roman" w:hAnsi="Times New Roman" w:eastAsia="等线" w:cs="Times New Roman"/>
                      <w:sz w:val="21"/>
                      <w:szCs w:val="21"/>
                      <w:lang w:val="en-US" w:eastAsia="zh-CN"/>
                    </w:rPr>
                    <w:t>00006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138" w:type="dxa"/>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SO</w:t>
                  </w:r>
                  <w:r>
                    <w:rPr>
                      <w:rFonts w:hint="default" w:ascii="Times New Roman" w:hAnsi="Times New Roman" w:eastAsia="等线" w:cs="Times New Roman"/>
                      <w:sz w:val="21"/>
                      <w:szCs w:val="21"/>
                      <w:vertAlign w:val="subscript"/>
                    </w:rPr>
                    <w:t>2</w:t>
                  </w:r>
                </w:p>
              </w:tc>
              <w:tc>
                <w:tcPr>
                  <w:tcW w:w="3291" w:type="dxa"/>
                  <w:vAlign w:val="center"/>
                </w:tcPr>
                <w:p>
                  <w:pPr>
                    <w:jc w:val="center"/>
                    <w:rPr>
                      <w:rFonts w:hint="default" w:ascii="Times New Roman" w:hAnsi="Times New Roman" w:eastAsia="等线" w:cs="Times New Roman"/>
                      <w:sz w:val="21"/>
                      <w:szCs w:val="21"/>
                      <w:lang w:val="en-US" w:eastAsia="zh-CN"/>
                    </w:rPr>
                  </w:pPr>
                  <w:r>
                    <w:rPr>
                      <w:rFonts w:hint="default" w:ascii="Times New Roman" w:hAnsi="Times New Roman" w:eastAsia="等线" w:cs="Times New Roman"/>
                      <w:sz w:val="21"/>
                      <w:szCs w:val="21"/>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3138" w:type="dxa"/>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NO</w:t>
                  </w:r>
                  <w:r>
                    <w:rPr>
                      <w:rFonts w:hint="default" w:ascii="Times New Roman" w:hAnsi="Times New Roman" w:eastAsia="等线" w:cs="Times New Roman"/>
                      <w:i/>
                      <w:iCs/>
                      <w:sz w:val="21"/>
                      <w:szCs w:val="21"/>
                      <w:vertAlign w:val="subscript"/>
                    </w:rPr>
                    <w:t>x</w:t>
                  </w:r>
                </w:p>
              </w:tc>
              <w:tc>
                <w:tcPr>
                  <w:tcW w:w="3291" w:type="dxa"/>
                  <w:vAlign w:val="center"/>
                </w:tcPr>
                <w:p>
                  <w:pPr>
                    <w:jc w:val="center"/>
                    <w:rPr>
                      <w:rFonts w:hint="default" w:ascii="Times New Roman" w:hAnsi="Times New Roman" w:eastAsia="等线" w:cs="Times New Roman"/>
                      <w:sz w:val="21"/>
                      <w:szCs w:val="21"/>
                      <w:lang w:val="en-US" w:eastAsia="zh-CN"/>
                    </w:rPr>
                  </w:pPr>
                  <w:r>
                    <w:rPr>
                      <w:rFonts w:hint="default" w:ascii="Times New Roman" w:hAnsi="Times New Roman" w:eastAsia="等线" w:cs="Times New Roman"/>
                      <w:sz w:val="21"/>
                      <w:szCs w:val="21"/>
                      <w:lang w:val="en-US" w:eastAsia="zh-CN"/>
                    </w:rPr>
                    <w:t>0</w:t>
                  </w:r>
                </w:p>
              </w:tc>
            </w:tr>
          </w:tbl>
          <w:p>
            <w:pPr>
              <w:pStyle w:val="17"/>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（5）小结</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本项目产生废气经处理后对周围环境的影响较小，大气环境影响可接受，全厂设置防护距离为以</w:t>
            </w:r>
            <w:r>
              <w:rPr>
                <w:rFonts w:hint="default" w:ascii="Times New Roman" w:hAnsi="Times New Roman" w:cs="Times New Roman"/>
                <w:sz w:val="24"/>
                <w:szCs w:val="24"/>
                <w:lang w:val="en-US" w:eastAsia="zh-CN"/>
              </w:rPr>
              <w:t>生产车间</w:t>
            </w:r>
            <w:r>
              <w:rPr>
                <w:rFonts w:hint="default" w:ascii="Times New Roman" w:hAnsi="Times New Roman" w:cs="Times New Roman"/>
                <w:sz w:val="24"/>
                <w:szCs w:val="24"/>
              </w:rPr>
              <w:t>外扩100米形成的包络线，该卫生防护距离包络线范围内无敏感保护目标，以后也不得在卫生防护距离内建设居住区等环境敏感目标，以避免环境纠纷。</w:t>
            </w:r>
          </w:p>
          <w:p>
            <w:pPr>
              <w:spacing w:line="48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3、噪声环境影响分析</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（1）预测内容</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预测范围为厂界，预测时段为运营期。最终的厂界噪声是本项目建成后的设备噪声影响与环境噪声背景值的叠加结果。</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（2）预测模式</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预测模式采用《环境影响评价技术导则声环境》（HJ2.4-2009）中推荐的模型。噪声在传播过程中受到多种因素的干扰，使其产生衰减，根据建设项目噪声源和环境特征，预测过程中考虑了厂房等建筑物的屏障作用、空气吸收。预测模式采用点声源处于半自由空间的几何发散模式。</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室外点声源利用点源衰减公式：</w:t>
            </w:r>
          </w:p>
          <w:p>
            <w:pPr>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object>
                <v:shape id="_x0000_i1027" o:spt="75" type="#_x0000_t75" style="height:19pt;width:152.05pt;" o:ole="t" filled="f" o:preferrelative="t" stroked="f" coordsize="21600,21600">
                  <v:path/>
                  <v:fill on="f" focussize="0,0"/>
                  <v:stroke on="f"/>
                  <v:imagedata r:id="rId12" o:title=""/>
                  <o:lock v:ext="edit" aspectratio="t"/>
                  <w10:wrap type="none"/>
                  <w10:anchorlock/>
                </v:shape>
                <o:OLEObject Type="Embed" ProgID="Equations" ShapeID="_x0000_i1027" DrawAspect="Content" ObjectID="_1468075727" r:id="rId11">
                  <o:LockedField>false</o:LockedField>
                </o:OLEObject>
              </w:objec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式中：LA(r)、LA(r0)分别是距声源r、r0处的A声级值。</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对于室内声源按下列步骤计算：</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①由类比监测取得室外靠近围护结构处的声压级LA(r0)。</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②将室外声级LA(r0)和透声面积换算成等效的室外声源。计算出等效源的声功率级：</w:t>
            </w:r>
          </w:p>
          <w:p>
            <w:pPr>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object>
                <v:shape id="_x0000_i1028" o:spt="75" type="#_x0000_t75" style="height:19pt;width:102pt;" o:ole="t" filled="f" o:preferrelative="t" stroked="f" coordsize="21600,21600">
                  <v:path/>
                  <v:fill on="f" focussize="0,0"/>
                  <v:stroke on="f"/>
                  <v:imagedata r:id="rId14" o:title=""/>
                  <o:lock v:ext="edit" aspectratio="t"/>
                  <w10:wrap type="none"/>
                  <w10:anchorlock/>
                </v:shape>
                <o:OLEObject Type="Embed" ProgID="Equations" ShapeID="_x0000_i1028" DrawAspect="Content" ObjectID="_1468075728" r:id="rId13">
                  <o:LockedField>false</o:LockedField>
                </o:OLEObject>
              </w:objec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式中S为透声面积。</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③用下式计算出等效室外声源在预测点的声压级。</w:t>
            </w:r>
          </w:p>
          <w:p>
            <w:pPr>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object>
                <v:shape id="_x0000_i1029" o:spt="75" type="#_x0000_t75" style="height:19pt;width:185.9pt;" o:ole="t" filled="f" o:preferrelative="t" stroked="f" coordsize="21600,21600">
                  <v:path/>
                  <v:fill on="f" focussize="0,0"/>
                  <v:stroke on="f"/>
                  <v:imagedata r:id="rId16" o:title=""/>
                  <o:lock v:ext="edit" aspectratio="t"/>
                  <w10:wrap type="none"/>
                  <w10:anchorlock/>
                </v:shape>
                <o:OLEObject Type="Embed" ProgID="Equations" ShapeID="_x0000_i1029" DrawAspect="Content" ObjectID="_1468075729" r:id="rId15">
                  <o:LockedField>false</o:LockedField>
                </o:OLEObject>
              </w:objec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④用下式计算各噪声源对预测点贡献声级及背景噪声叠加。</w:t>
            </w:r>
          </w:p>
          <w:p>
            <w:pPr>
              <w:jc w:val="center"/>
              <w:rPr>
                <w:rFonts w:hint="default" w:ascii="Times New Roman" w:hAnsi="Times New Roman" w:cs="Times New Roman"/>
                <w:sz w:val="24"/>
                <w:szCs w:val="24"/>
              </w:rPr>
            </w:pPr>
            <w:r>
              <w:rPr>
                <w:rFonts w:hint="default" w:ascii="Times New Roman" w:hAnsi="Times New Roman" w:cs="Times New Roman"/>
                <w:sz w:val="24"/>
                <w:szCs w:val="24"/>
              </w:rPr>
              <w:object>
                <v:shape id="_x0000_i1030" o:spt="75" type="#_x0000_t75" style="height:35pt;width:111.95pt;" o:ole="t" filled="f" o:preferrelative="t" stroked="f" coordsize="21600,21600">
                  <v:path/>
                  <v:fill on="f" focussize="0,0"/>
                  <v:stroke on="f"/>
                  <v:imagedata r:id="rId18" o:title=""/>
                  <o:lock v:ext="edit" aspectratio="t"/>
                  <w10:wrap type="none"/>
                  <w10:anchorlock/>
                </v:shape>
                <o:OLEObject Type="Embed" ProgID="Equations" ShapeID="_x0000_i1030" DrawAspect="Content" ObjectID="_1468075730" r:id="rId17">
                  <o:LockedField>false</o:LockedField>
                </o:OLEObject>
              </w:objec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式中：LAi为声源单独作用时预测处的A声级，n为声源个数。</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户外建筑物的声屏障效应：</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声屏障的隔声效应与声源和接收点、屏障位置、屏障高度和屏障长度及结构性质有关，我们根据它们之间的距离、声音的频率(一般取500HZ)算出菲涅尔系数，然后再查表找出相对应的衰减值(dB)。菲涅尔系数的计算方法如下：</w:t>
            </w:r>
          </w:p>
          <w:p>
            <w:pPr>
              <w:jc w:val="center"/>
              <w:rPr>
                <w:rFonts w:hint="default" w:ascii="Times New Roman" w:hAnsi="Times New Roman" w:cs="Times New Roman"/>
                <w:sz w:val="24"/>
                <w:szCs w:val="24"/>
              </w:rPr>
            </w:pPr>
            <w:r>
              <w:rPr>
                <w:rFonts w:hint="default" w:ascii="Times New Roman" w:hAnsi="Times New Roman" w:cs="Times New Roman"/>
                <w:sz w:val="24"/>
                <w:szCs w:val="24"/>
              </w:rPr>
              <w:object>
                <v:shape id="_x0000_i1031" o:spt="75" type="#_x0000_t75" style="height:24pt;width:88.05pt;" o:ole="t" filled="f" o:preferrelative="t" stroked="f" coordsize="21600,21600">
                  <v:path/>
                  <v:fill on="f" focussize="0,0"/>
                  <v:stroke on="f"/>
                  <v:imagedata r:id="rId20" o:title=""/>
                  <o:lock v:ext="edit" aspectratio="t"/>
                  <w10:wrap type="none"/>
                  <w10:anchorlock/>
                </v:shape>
                <o:OLEObject Type="Embed" ProgID="Equations" ShapeID="_x0000_i1031" DrawAspect="Content" ObjectID="_1468075731" r:id="rId19">
                  <o:LockedField>false</o:LockedField>
                </o:OLEObject>
              </w:objec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式中：A—是声源与屏障顶端的距离；B—是接收点与屏障顶端的距离；</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      d—是声源与接收点间的距离；λ—波长。</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空气吸收引起的衰减(Aatm)：</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空气吸收引起的衰减按以下公式计算：</w:t>
            </w:r>
          </w:p>
          <w:p>
            <w:pPr>
              <w:jc w:val="center"/>
              <w:rPr>
                <w:rFonts w:hint="default" w:ascii="Times New Roman" w:hAnsi="Times New Roman" w:cs="Times New Roman"/>
                <w:sz w:val="24"/>
                <w:szCs w:val="24"/>
              </w:rPr>
            </w:pPr>
            <w:r>
              <w:rPr>
                <w:rFonts w:hint="default" w:ascii="Times New Roman" w:hAnsi="Times New Roman" w:cs="Times New Roman"/>
                <w:position w:val="-24"/>
                <w:sz w:val="24"/>
                <w:szCs w:val="24"/>
              </w:rPr>
              <w:object>
                <v:shape id="_x0000_i1032" o:spt="75" type="#_x0000_t75" style="height:30pt;width:86pt;" o:ole="t" filled="f" o:preferrelative="t" stroked="f" coordsize="21600,21600">
                  <v:path/>
                  <v:fill on="f" focussize="0,0"/>
                  <v:stroke on="f"/>
                  <v:imagedata r:id="rId22" o:title=""/>
                  <o:lock v:ext="edit" aspectratio="t"/>
                  <w10:wrap type="none"/>
                  <w10:anchorlock/>
                </v:shape>
                <o:OLEObject Type="Embed" ProgID="Equations" ShapeID="_x0000_i1032" DrawAspect="Content" ObjectID="_1468075732" r:id="rId21">
                  <o:LockedField>false</o:LockedField>
                </o:OLEObject>
              </w:objec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式中：a为温度、湿度和声波频率的函数，预测计算中一般根据建设项目所处区域常年平均气温和湿度选择相应的空气吸收系数，见表7-15。</w:t>
            </w: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表7-15 倍频带噪声的大气吸收衰减系数</w:t>
            </w:r>
          </w:p>
          <w:tbl>
            <w:tblPr>
              <w:tblStyle w:val="14"/>
              <w:tblW w:w="7831" w:type="dxa"/>
              <w:jc w:val="center"/>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24"/>
              <w:gridCol w:w="877"/>
              <w:gridCol w:w="791"/>
              <w:gridCol w:w="792"/>
              <w:gridCol w:w="791"/>
              <w:gridCol w:w="792"/>
              <w:gridCol w:w="792"/>
              <w:gridCol w:w="791"/>
              <w:gridCol w:w="792"/>
              <w:gridCol w:w="7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restart"/>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温度</w:t>
                  </w:r>
                </w:p>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w:t>
                  </w:r>
                </w:p>
              </w:tc>
              <w:tc>
                <w:tcPr>
                  <w:tcW w:w="877" w:type="dxa"/>
                  <w:vMerge w:val="restart"/>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相对湿度%</w:t>
                  </w:r>
                </w:p>
              </w:tc>
              <w:tc>
                <w:tcPr>
                  <w:tcW w:w="6330" w:type="dxa"/>
                  <w:gridSpan w:val="8"/>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大气吸收衰减系数a，dB/km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continue"/>
                  <w:shd w:val="clear" w:color="auto" w:fill="auto"/>
                  <w:vAlign w:val="center"/>
                </w:tcPr>
                <w:p>
                  <w:pPr>
                    <w:pStyle w:val="11"/>
                    <w:jc w:val="center"/>
                    <w:rPr>
                      <w:rFonts w:hint="default" w:ascii="Times New Roman" w:hAnsi="Times New Roman" w:cs="Times New Roman"/>
                      <w:b w:val="0"/>
                      <w:bCs w:val="0"/>
                      <w:sz w:val="21"/>
                      <w:szCs w:val="21"/>
                    </w:rPr>
                  </w:pPr>
                </w:p>
              </w:tc>
              <w:tc>
                <w:tcPr>
                  <w:tcW w:w="877" w:type="dxa"/>
                  <w:vMerge w:val="continue"/>
                  <w:shd w:val="clear" w:color="auto" w:fill="auto"/>
                  <w:vAlign w:val="center"/>
                </w:tcPr>
                <w:p>
                  <w:pPr>
                    <w:pStyle w:val="11"/>
                    <w:jc w:val="center"/>
                    <w:rPr>
                      <w:rFonts w:hint="default" w:ascii="Times New Roman" w:hAnsi="Times New Roman" w:cs="Times New Roman"/>
                      <w:b w:val="0"/>
                      <w:bCs w:val="0"/>
                      <w:sz w:val="21"/>
                      <w:szCs w:val="21"/>
                    </w:rPr>
                  </w:pPr>
                </w:p>
              </w:tc>
              <w:tc>
                <w:tcPr>
                  <w:tcW w:w="6330" w:type="dxa"/>
                  <w:gridSpan w:val="8"/>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倍频带中心频率Hz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continue"/>
                  <w:shd w:val="clear" w:color="auto" w:fill="auto"/>
                  <w:vAlign w:val="center"/>
                </w:tcPr>
                <w:p>
                  <w:pPr>
                    <w:pStyle w:val="11"/>
                    <w:jc w:val="center"/>
                    <w:rPr>
                      <w:rFonts w:hint="default" w:ascii="Times New Roman" w:hAnsi="Times New Roman" w:cs="Times New Roman"/>
                      <w:b w:val="0"/>
                      <w:bCs w:val="0"/>
                      <w:sz w:val="21"/>
                      <w:szCs w:val="21"/>
                    </w:rPr>
                  </w:pPr>
                </w:p>
              </w:tc>
              <w:tc>
                <w:tcPr>
                  <w:tcW w:w="877" w:type="dxa"/>
                  <w:vMerge w:val="continue"/>
                  <w:shd w:val="clear" w:color="auto" w:fill="auto"/>
                  <w:vAlign w:val="center"/>
                </w:tcPr>
                <w:p>
                  <w:pPr>
                    <w:pStyle w:val="11"/>
                    <w:jc w:val="center"/>
                    <w:rPr>
                      <w:rFonts w:hint="default" w:ascii="Times New Roman" w:hAnsi="Times New Roman" w:cs="Times New Roman"/>
                      <w:b w:val="0"/>
                      <w:bCs w:val="0"/>
                      <w:sz w:val="21"/>
                      <w:szCs w:val="21"/>
                    </w:rPr>
                  </w:pPr>
                </w:p>
              </w:tc>
              <w:tc>
                <w:tcPr>
                  <w:tcW w:w="791" w:type="dxa"/>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63</w:t>
                  </w:r>
                </w:p>
              </w:tc>
              <w:tc>
                <w:tcPr>
                  <w:tcW w:w="792" w:type="dxa"/>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125</w:t>
                  </w:r>
                </w:p>
              </w:tc>
              <w:tc>
                <w:tcPr>
                  <w:tcW w:w="791" w:type="dxa"/>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250</w:t>
                  </w:r>
                </w:p>
              </w:tc>
              <w:tc>
                <w:tcPr>
                  <w:tcW w:w="792" w:type="dxa"/>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500</w:t>
                  </w:r>
                </w:p>
              </w:tc>
              <w:tc>
                <w:tcPr>
                  <w:tcW w:w="792" w:type="dxa"/>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1000</w:t>
                  </w:r>
                </w:p>
              </w:tc>
              <w:tc>
                <w:tcPr>
                  <w:tcW w:w="791" w:type="dxa"/>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2000</w:t>
                  </w:r>
                </w:p>
              </w:tc>
              <w:tc>
                <w:tcPr>
                  <w:tcW w:w="792" w:type="dxa"/>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4000</w:t>
                  </w:r>
                </w:p>
              </w:tc>
              <w:tc>
                <w:tcPr>
                  <w:tcW w:w="789" w:type="dxa"/>
                  <w:shd w:val="clear" w:color="auto" w:fill="auto"/>
                  <w:vAlign w:val="center"/>
                </w:tcPr>
                <w:p>
                  <w:pPr>
                    <w:pStyle w:val="11"/>
                    <w:jc w:val="center"/>
                    <w:rPr>
                      <w:rFonts w:hint="default" w:ascii="Times New Roman" w:hAnsi="Times New Roman" w:cs="Times New Roman"/>
                      <w:b w:val="0"/>
                      <w:bCs w:val="0"/>
                      <w:sz w:val="21"/>
                      <w:szCs w:val="21"/>
                    </w:rPr>
                  </w:pPr>
                  <w:r>
                    <w:rPr>
                      <w:rFonts w:hint="default" w:ascii="Times New Roman" w:hAnsi="Times New Roman" w:cs="Times New Roman"/>
                      <w:sz w:val="21"/>
                      <w:szCs w:val="21"/>
                    </w:rPr>
                    <w:t>8000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10</w:t>
                  </w:r>
                </w:p>
              </w:tc>
              <w:tc>
                <w:tcPr>
                  <w:tcW w:w="877"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70</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0.4</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1.0</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1.9</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3.7</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9.7</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32.8</w:t>
                  </w:r>
                </w:p>
              </w:tc>
              <w:tc>
                <w:tcPr>
                  <w:tcW w:w="789"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117.0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20</w:t>
                  </w:r>
                </w:p>
              </w:tc>
              <w:tc>
                <w:tcPr>
                  <w:tcW w:w="877"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70</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0.3</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1.1</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2.8</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5.0</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9.0</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22.9</w:t>
                  </w:r>
                </w:p>
              </w:tc>
              <w:tc>
                <w:tcPr>
                  <w:tcW w:w="789"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76.6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30</w:t>
                  </w:r>
                </w:p>
              </w:tc>
              <w:tc>
                <w:tcPr>
                  <w:tcW w:w="877"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70</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0.3</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1.0</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3.1</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7.4</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12.7</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23.1</w:t>
                  </w:r>
                </w:p>
              </w:tc>
              <w:tc>
                <w:tcPr>
                  <w:tcW w:w="789"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59.3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15</w:t>
                  </w:r>
                </w:p>
              </w:tc>
              <w:tc>
                <w:tcPr>
                  <w:tcW w:w="877"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20</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0.3</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0.6</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1.2</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2.7</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8.2</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28.2</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28.8</w:t>
                  </w:r>
                </w:p>
              </w:tc>
              <w:tc>
                <w:tcPr>
                  <w:tcW w:w="789"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15</w:t>
                  </w:r>
                </w:p>
              </w:tc>
              <w:tc>
                <w:tcPr>
                  <w:tcW w:w="877"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50</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0.5</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1.2</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2.2</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4.2</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10.8</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36.2</w:t>
                  </w:r>
                </w:p>
              </w:tc>
              <w:tc>
                <w:tcPr>
                  <w:tcW w:w="789"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129.0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15</w:t>
                  </w:r>
                </w:p>
              </w:tc>
              <w:tc>
                <w:tcPr>
                  <w:tcW w:w="877"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70</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0.105</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0.381</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1.13</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2.36</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4.08</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8.75</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2.64</w:t>
                  </w:r>
                </w:p>
              </w:tc>
              <w:tc>
                <w:tcPr>
                  <w:tcW w:w="789"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93.7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94" w:hRule="atLeast"/>
                <w:jc w:val="center"/>
              </w:trPr>
              <w:tc>
                <w:tcPr>
                  <w:tcW w:w="624"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15</w:t>
                  </w:r>
                </w:p>
              </w:tc>
              <w:tc>
                <w:tcPr>
                  <w:tcW w:w="877"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80</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0.1</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0.3</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1.1</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2.4</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4.1</w:t>
                  </w:r>
                </w:p>
              </w:tc>
              <w:tc>
                <w:tcPr>
                  <w:tcW w:w="791"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8.3</w:t>
                  </w:r>
                </w:p>
              </w:tc>
              <w:tc>
                <w:tcPr>
                  <w:tcW w:w="792"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23.7</w:t>
                  </w:r>
                </w:p>
              </w:tc>
              <w:tc>
                <w:tcPr>
                  <w:tcW w:w="789" w:type="dxa"/>
                  <w:shd w:val="clear" w:color="auto" w:fill="auto"/>
                  <w:vAlign w:val="center"/>
                </w:tcPr>
                <w:p>
                  <w:pPr>
                    <w:pStyle w:val="11"/>
                    <w:jc w:val="center"/>
                    <w:rPr>
                      <w:rFonts w:hint="default" w:ascii="Times New Roman" w:hAnsi="Times New Roman" w:cs="Times New Roman"/>
                      <w:b w:val="0"/>
                      <w:sz w:val="21"/>
                      <w:szCs w:val="21"/>
                    </w:rPr>
                  </w:pPr>
                  <w:r>
                    <w:rPr>
                      <w:rFonts w:hint="default" w:ascii="Times New Roman" w:hAnsi="Times New Roman" w:cs="Times New Roman"/>
                      <w:b w:val="0"/>
                      <w:sz w:val="21"/>
                      <w:szCs w:val="21"/>
                    </w:rPr>
                    <w:t>82.8</w:t>
                  </w:r>
                </w:p>
              </w:tc>
            </w:tr>
          </w:tbl>
          <w:p>
            <w:pPr>
              <w:spacing w:line="360" w:lineRule="auto"/>
              <w:ind w:firstLine="472" w:firstLineChars="200"/>
              <w:rPr>
                <w:rFonts w:hint="default" w:ascii="Times New Roman" w:hAnsi="Times New Roman" w:cs="Times New Roman"/>
                <w:bCs/>
                <w:spacing w:val="-2"/>
                <w:sz w:val="24"/>
                <w:szCs w:val="24"/>
              </w:rPr>
            </w:pPr>
            <w:r>
              <w:rPr>
                <w:rFonts w:hint="default" w:ascii="Times New Roman" w:hAnsi="Times New Roman" w:cs="Times New Roman"/>
                <w:bCs/>
                <w:spacing w:val="-2"/>
                <w:sz w:val="24"/>
                <w:szCs w:val="24"/>
              </w:rPr>
              <w:t>（3）噪声源强</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企业噪声源强主要为设备产生的机械噪声，全厂噪声源情况见表7-16。</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表7-16 主要噪声源情况</w:t>
            </w:r>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384"/>
              <w:gridCol w:w="1419"/>
              <w:gridCol w:w="1814"/>
              <w:gridCol w:w="1004"/>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138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噪声源</w:t>
                  </w:r>
                </w:p>
              </w:tc>
              <w:tc>
                <w:tcPr>
                  <w:tcW w:w="1419"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数量（个/台）</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单台等效声级（dB（A））</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位置</w:t>
                  </w:r>
                </w:p>
              </w:tc>
              <w:tc>
                <w:tcPr>
                  <w:tcW w:w="2079"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混合噪声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全自动断剥线机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default" w:ascii="Times New Roman" w:hAnsi="Times New Roman" w:eastAsia="宋体" w:cs="Times New Roman"/>
                      <w:b w:val="0"/>
                      <w:color w:val="auto"/>
                      <w:sz w:val="21"/>
                      <w:szCs w:val="21"/>
                      <w:lang w:val="en-US" w:eastAsia="zh-CN" w:bidi="ar"/>
                    </w:rPr>
                    <w:t>1</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2079" w:type="dxa"/>
                  <w:vMerge w:val="restart"/>
                  <w:tcBorders>
                    <w:top w:val="single" w:color="auto" w:sz="4" w:space="0"/>
                    <w:left w:val="nil"/>
                    <w:right w:val="single" w:color="auto" w:sz="4" w:space="0"/>
                  </w:tcBorders>
                  <w:shd w:val="clear" w:color="auto" w:fill="auto"/>
                  <w:vAlign w:val="center"/>
                </w:tcPr>
                <w:p>
                  <w:pPr>
                    <w:pStyle w:val="23"/>
                    <w:widowControl/>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立式气动剥线机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Style w:val="18"/>
                      <w:rFonts w:hint="eastAsia" w:ascii="Times New Roman" w:hAnsi="Times New Roman" w:eastAsia="宋体" w:cs="Times New Roman"/>
                      <w:b w:val="0"/>
                      <w:color w:val="auto"/>
                      <w:sz w:val="21"/>
                      <w:szCs w:val="21"/>
                      <w:lang w:val="en-US" w:eastAsia="zh-CN" w:bidi="ar"/>
                    </w:rPr>
                    <w:t>3</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2079"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立式注塑机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eastAsia" w:ascii="Times New Roman" w:hAnsi="Times New Roman" w:eastAsia="宋体" w:cs="Times New Roman"/>
                      <w:b w:val="0"/>
                      <w:color w:val="auto"/>
                      <w:sz w:val="21"/>
                      <w:szCs w:val="21"/>
                      <w:lang w:val="en-US" w:eastAsia="zh-CN" w:bidi="ar"/>
                    </w:rPr>
                    <w:t>3</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w:t>
                  </w:r>
                  <w:r>
                    <w:rPr>
                      <w:rFonts w:hint="default" w:ascii="Times New Roman" w:hAnsi="Times New Roman" w:cs="Times New Roman"/>
                      <w:color w:val="auto"/>
                      <w:sz w:val="21"/>
                      <w:szCs w:val="21"/>
                      <w:lang w:val="en-US" w:eastAsia="zh-CN"/>
                    </w:rPr>
                    <w:t>0</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2079"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i w:val="0"/>
                      <w:color w:val="000000"/>
                      <w:sz w:val="21"/>
                      <w:szCs w:val="21"/>
                      <w:u w:val="none"/>
                      <w:lang w:val="en-US" w:eastAsia="zh-CN"/>
                    </w:rPr>
                    <w:t>压接机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eastAsia" w:ascii="Times New Roman" w:hAnsi="Times New Roman" w:eastAsia="宋体" w:cs="Times New Roman"/>
                      <w:b w:val="0"/>
                      <w:color w:val="auto"/>
                      <w:sz w:val="21"/>
                      <w:szCs w:val="21"/>
                      <w:lang w:val="en-US" w:eastAsia="zh-CN" w:bidi="ar"/>
                    </w:rPr>
                    <w:t>3</w:t>
                  </w:r>
                </w:p>
              </w:tc>
              <w:tc>
                <w:tcPr>
                  <w:tcW w:w="181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w:t>
                  </w:r>
                  <w:r>
                    <w:rPr>
                      <w:rFonts w:hint="default" w:ascii="Times New Roman" w:hAnsi="Times New Roman" w:cs="Times New Roman"/>
                      <w:color w:val="auto"/>
                      <w:sz w:val="21"/>
                      <w:szCs w:val="21"/>
                      <w:lang w:val="en-US" w:eastAsia="zh-CN"/>
                    </w:rPr>
                    <w:t>5</w:t>
                  </w:r>
                </w:p>
              </w:tc>
              <w:tc>
                <w:tcPr>
                  <w:tcW w:w="1004"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2079" w:type="dxa"/>
                  <w:vMerge w:val="continue"/>
                  <w:tcBorders>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bl>
          <w:p>
            <w:pPr>
              <w:spacing w:line="360" w:lineRule="auto"/>
              <w:ind w:firstLine="472" w:firstLineChars="200"/>
              <w:rPr>
                <w:rFonts w:hint="default" w:ascii="Times New Roman" w:hAnsi="Times New Roman" w:cs="Times New Roman"/>
                <w:bCs/>
                <w:spacing w:val="-2"/>
                <w:sz w:val="24"/>
                <w:szCs w:val="24"/>
              </w:rPr>
            </w:pPr>
            <w:r>
              <w:rPr>
                <w:rFonts w:hint="default" w:ascii="Times New Roman" w:hAnsi="Times New Roman" w:cs="Times New Roman"/>
                <w:bCs/>
                <w:spacing w:val="-2"/>
                <w:sz w:val="24"/>
                <w:szCs w:val="24"/>
              </w:rPr>
              <w:t>（4）预测结果与评价</w:t>
            </w:r>
          </w:p>
          <w:p>
            <w:pPr>
              <w:spacing w:line="360" w:lineRule="auto"/>
              <w:ind w:firstLine="480" w:firstLineChars="200"/>
              <w:jc w:val="left"/>
              <w:rPr>
                <w:rFonts w:hint="default" w:ascii="Times New Roman" w:hAnsi="Times New Roman" w:cs="Times New Roman" w:eastAsiaTheme="minorEastAsia"/>
                <w:b/>
                <w:sz w:val="24"/>
                <w:szCs w:val="24"/>
                <w:lang w:eastAsia="zh-CN"/>
              </w:rPr>
            </w:pPr>
            <w:r>
              <w:rPr>
                <w:rFonts w:hint="default" w:ascii="Times New Roman" w:hAnsi="Times New Roman" w:cs="Times New Roman"/>
                <w:sz w:val="24"/>
                <w:szCs w:val="24"/>
              </w:rPr>
              <w:t>本项目噪声影响预测主要为运营期对各厂界的噪声影响，取现状监测中最大值最为预测的本底值</w:t>
            </w:r>
            <w:r>
              <w:rPr>
                <w:rFonts w:hint="default"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各厂界噪声预测结果见表7-17。</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表7-17噪声预测结果  单位：dB(A)</w:t>
            </w:r>
          </w:p>
          <w:tbl>
            <w:tblPr>
              <w:tblStyle w:val="14"/>
              <w:tblW w:w="830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34"/>
              <w:gridCol w:w="879"/>
              <w:gridCol w:w="1027"/>
              <w:gridCol w:w="1342"/>
              <w:gridCol w:w="1342"/>
              <w:gridCol w:w="1342"/>
              <w:gridCol w:w="13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913" w:type="dxa"/>
                  <w:gridSpan w:val="2"/>
                  <w:shd w:val="clear" w:color="auto" w:fill="auto"/>
                  <w:vAlign w:val="center"/>
                </w:tcPr>
                <w:p>
                  <w:pPr>
                    <w:spacing w:line="240" w:lineRule="atLeast"/>
                    <w:jc w:val="center"/>
                    <w:rPr>
                      <w:rFonts w:hint="default" w:ascii="Times New Roman" w:hAnsi="Times New Roman" w:cs="Times New Roman"/>
                      <w:b/>
                      <w:sz w:val="21"/>
                      <w:szCs w:val="21"/>
                    </w:rPr>
                  </w:pPr>
                  <w:r>
                    <w:rPr>
                      <w:rFonts w:hint="default" w:ascii="Times New Roman" w:hAnsi="Times New Roman" w:cs="Times New Roman"/>
                      <w:b/>
                      <w:sz w:val="21"/>
                      <w:szCs w:val="21"/>
                    </w:rPr>
                    <w:t>预测点</w:t>
                  </w:r>
                </w:p>
              </w:tc>
              <w:tc>
                <w:tcPr>
                  <w:tcW w:w="1027" w:type="dxa"/>
                  <w:shd w:val="clear" w:color="auto" w:fill="auto"/>
                  <w:vAlign w:val="center"/>
                </w:tcPr>
                <w:p>
                  <w:pPr>
                    <w:spacing w:line="240" w:lineRule="atLeast"/>
                    <w:jc w:val="center"/>
                    <w:rPr>
                      <w:rFonts w:hint="default" w:ascii="Times New Roman" w:hAnsi="Times New Roman" w:cs="Times New Roman"/>
                      <w:b/>
                      <w:sz w:val="21"/>
                      <w:szCs w:val="21"/>
                    </w:rPr>
                  </w:pPr>
                  <w:r>
                    <w:rPr>
                      <w:rFonts w:hint="default" w:ascii="Times New Roman" w:hAnsi="Times New Roman" w:cs="Times New Roman"/>
                      <w:b/>
                      <w:sz w:val="21"/>
                      <w:szCs w:val="21"/>
                    </w:rPr>
                    <w:t>影响值</w:t>
                  </w:r>
                </w:p>
              </w:tc>
              <w:tc>
                <w:tcPr>
                  <w:tcW w:w="1342" w:type="dxa"/>
                  <w:shd w:val="clear" w:color="auto" w:fill="auto"/>
                  <w:vAlign w:val="center"/>
                </w:tcPr>
                <w:p>
                  <w:pPr>
                    <w:spacing w:line="240" w:lineRule="atLeast"/>
                    <w:jc w:val="center"/>
                    <w:rPr>
                      <w:rFonts w:hint="default" w:ascii="Times New Roman" w:hAnsi="Times New Roman" w:cs="Times New Roman"/>
                      <w:b/>
                      <w:sz w:val="21"/>
                      <w:szCs w:val="21"/>
                    </w:rPr>
                  </w:pPr>
                  <w:r>
                    <w:rPr>
                      <w:rFonts w:hint="default" w:ascii="Times New Roman" w:hAnsi="Times New Roman" w:cs="Times New Roman"/>
                      <w:b/>
                      <w:sz w:val="21"/>
                      <w:szCs w:val="21"/>
                    </w:rPr>
                    <w:t>本底值（昼间）</w:t>
                  </w:r>
                </w:p>
              </w:tc>
              <w:tc>
                <w:tcPr>
                  <w:tcW w:w="1342" w:type="dxa"/>
                  <w:shd w:val="clear" w:color="auto" w:fill="auto"/>
                  <w:vAlign w:val="center"/>
                </w:tcPr>
                <w:p>
                  <w:pPr>
                    <w:spacing w:line="240" w:lineRule="atLeast"/>
                    <w:jc w:val="center"/>
                    <w:rPr>
                      <w:rFonts w:hint="default" w:ascii="Times New Roman" w:hAnsi="Times New Roman" w:cs="Times New Roman"/>
                      <w:b/>
                      <w:sz w:val="21"/>
                      <w:szCs w:val="21"/>
                    </w:rPr>
                  </w:pPr>
                  <w:r>
                    <w:rPr>
                      <w:rFonts w:hint="default" w:ascii="Times New Roman" w:hAnsi="Times New Roman" w:cs="Times New Roman"/>
                      <w:b/>
                      <w:sz w:val="21"/>
                      <w:szCs w:val="21"/>
                    </w:rPr>
                    <w:t>预测值（昼间）</w:t>
                  </w:r>
                </w:p>
              </w:tc>
              <w:tc>
                <w:tcPr>
                  <w:tcW w:w="1342" w:type="dxa"/>
                  <w:shd w:val="clear" w:color="auto" w:fill="auto"/>
                  <w:vAlign w:val="center"/>
                </w:tcPr>
                <w:p>
                  <w:pPr>
                    <w:spacing w:line="240" w:lineRule="atLeast"/>
                    <w:jc w:val="center"/>
                    <w:rPr>
                      <w:rFonts w:hint="default" w:ascii="Times New Roman" w:hAnsi="Times New Roman" w:cs="Times New Roman"/>
                      <w:b/>
                      <w:sz w:val="21"/>
                      <w:szCs w:val="21"/>
                    </w:rPr>
                  </w:pPr>
                  <w:r>
                    <w:rPr>
                      <w:rFonts w:hint="default" w:ascii="Times New Roman" w:hAnsi="Times New Roman" w:cs="Times New Roman"/>
                      <w:b/>
                      <w:sz w:val="21"/>
                      <w:szCs w:val="21"/>
                    </w:rPr>
                    <w:t>标准值</w:t>
                  </w:r>
                </w:p>
              </w:tc>
              <w:tc>
                <w:tcPr>
                  <w:tcW w:w="1342" w:type="dxa"/>
                  <w:shd w:val="clear" w:color="auto" w:fill="auto"/>
                  <w:vAlign w:val="center"/>
                </w:tcPr>
                <w:p>
                  <w:pPr>
                    <w:spacing w:line="240" w:lineRule="atLeast"/>
                    <w:jc w:val="center"/>
                    <w:rPr>
                      <w:rFonts w:hint="default" w:ascii="Times New Roman" w:hAnsi="Times New Roman" w:cs="Times New Roman"/>
                      <w:b/>
                      <w:sz w:val="21"/>
                      <w:szCs w:val="21"/>
                    </w:rPr>
                  </w:pPr>
                  <w:r>
                    <w:rPr>
                      <w:rFonts w:hint="default" w:ascii="Times New Roman" w:hAnsi="Times New Roman" w:cs="Times New Roman"/>
                      <w:b/>
                      <w:sz w:val="21"/>
                      <w:szCs w:val="21"/>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eastAsia="zh-CN"/>
                    </w:rPr>
                  </w:pPr>
                  <w:r>
                    <w:rPr>
                      <w:rFonts w:hint="default" w:ascii="Times New Roman" w:hAnsi="Times New Roman" w:cs="Times New Roman"/>
                      <w:sz w:val="21"/>
                      <w:szCs w:val="21"/>
                    </w:rPr>
                    <w:t>N</w:t>
                  </w:r>
                  <w:r>
                    <w:rPr>
                      <w:rFonts w:hint="eastAsia" w:ascii="Times New Roman" w:hAnsi="Times New Roman" w:cs="Times New Roman"/>
                      <w:sz w:val="21"/>
                      <w:szCs w:val="21"/>
                      <w:lang w:val="en-US" w:eastAsia="zh-CN"/>
                    </w:rPr>
                    <w:t>1</w:t>
                  </w:r>
                </w:p>
              </w:tc>
              <w:tc>
                <w:tcPr>
                  <w:tcW w:w="879" w:type="dxa"/>
                  <w:shd w:val="clear" w:color="auto" w:fill="auto"/>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昼间</w:t>
                  </w:r>
                </w:p>
              </w:tc>
              <w:tc>
                <w:tcPr>
                  <w:tcW w:w="1027"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default" w:ascii="Times New Roman" w:hAnsi="Times New Roman" w:eastAsia="等线" w:cs="Times New Roman"/>
                      <w:sz w:val="21"/>
                      <w:szCs w:val="21"/>
                      <w:lang w:val="en-US" w:eastAsia="zh-CN"/>
                    </w:rPr>
                    <w:t>43.8</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52.2</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52.79</w:t>
                  </w:r>
                </w:p>
              </w:tc>
              <w:tc>
                <w:tcPr>
                  <w:tcW w:w="1342" w:type="dxa"/>
                  <w:shd w:val="clear" w:color="auto" w:fill="auto"/>
                  <w:vAlign w:val="center"/>
                </w:tcPr>
                <w:p>
                  <w:pPr>
                    <w:jc w:val="center"/>
                    <w:rPr>
                      <w:rFonts w:hint="eastAsia" w:ascii="Times New Roman" w:hAnsi="Times New Roman" w:cs="Times New Roman" w:eastAsiaTheme="minorEastAsia"/>
                      <w:sz w:val="21"/>
                      <w:szCs w:val="21"/>
                      <w:lang w:eastAsia="zh-CN"/>
                    </w:rPr>
                  </w:pPr>
                  <w:r>
                    <w:rPr>
                      <w:rFonts w:hint="default" w:ascii="Times New Roman" w:hAnsi="Times New Roman" w:cs="Times New Roman"/>
                      <w:sz w:val="21"/>
                      <w:szCs w:val="21"/>
                    </w:rPr>
                    <w:t>6</w:t>
                  </w:r>
                  <w:r>
                    <w:rPr>
                      <w:rFonts w:hint="eastAsia" w:ascii="Times New Roman" w:hAnsi="Times New Roman" w:cs="Times New Roman"/>
                      <w:sz w:val="21"/>
                      <w:szCs w:val="21"/>
                      <w:lang w:val="en-US" w:eastAsia="zh-CN"/>
                    </w:rPr>
                    <w:t>5</w:t>
                  </w:r>
                </w:p>
              </w:tc>
              <w:tc>
                <w:tcPr>
                  <w:tcW w:w="1342" w:type="dxa"/>
                  <w:shd w:val="clear" w:color="auto" w:fill="auto"/>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hint="default" w:ascii="Times New Roman" w:hAnsi="Times New Roman" w:cs="Times New Roman"/>
                      <w:sz w:val="21"/>
                      <w:szCs w:val="21"/>
                    </w:rPr>
                    <w:t>N</w:t>
                  </w:r>
                  <w:r>
                    <w:rPr>
                      <w:rFonts w:hint="eastAsia" w:ascii="Times New Roman" w:hAnsi="Times New Roman" w:cs="Times New Roman"/>
                      <w:sz w:val="21"/>
                      <w:szCs w:val="21"/>
                      <w:lang w:val="en-US" w:eastAsia="zh-CN"/>
                    </w:rPr>
                    <w:t>2</w:t>
                  </w:r>
                </w:p>
              </w:tc>
              <w:tc>
                <w:tcPr>
                  <w:tcW w:w="879" w:type="dxa"/>
                  <w:shd w:val="clear" w:color="auto" w:fill="auto"/>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昼间</w:t>
                  </w:r>
                </w:p>
              </w:tc>
              <w:tc>
                <w:tcPr>
                  <w:tcW w:w="1027" w:type="dxa"/>
                  <w:shd w:val="clear" w:color="auto" w:fill="auto"/>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lang w:val="en-US" w:eastAsia="zh-CN"/>
                    </w:rPr>
                    <w:t>33.4</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54.2</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54.24</w:t>
                  </w:r>
                </w:p>
              </w:tc>
              <w:tc>
                <w:tcPr>
                  <w:tcW w:w="1342"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w:t>
                  </w:r>
                  <w:r>
                    <w:rPr>
                      <w:rFonts w:hint="eastAsia" w:ascii="Times New Roman" w:hAnsi="Times New Roman" w:cs="Times New Roman"/>
                      <w:sz w:val="21"/>
                      <w:szCs w:val="21"/>
                      <w:lang w:val="en-US" w:eastAsia="zh-CN"/>
                    </w:rPr>
                    <w:t>5</w:t>
                  </w:r>
                </w:p>
              </w:tc>
              <w:tc>
                <w:tcPr>
                  <w:tcW w:w="1342" w:type="dxa"/>
                  <w:shd w:val="clear" w:color="auto" w:fill="auto"/>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hint="default" w:ascii="Times New Roman" w:hAnsi="Times New Roman" w:cs="Times New Roman"/>
                      <w:sz w:val="21"/>
                      <w:szCs w:val="21"/>
                    </w:rPr>
                    <w:t>N</w:t>
                  </w:r>
                  <w:r>
                    <w:rPr>
                      <w:rFonts w:hint="eastAsia" w:ascii="Times New Roman" w:hAnsi="Times New Roman" w:cs="Times New Roman"/>
                      <w:sz w:val="21"/>
                      <w:szCs w:val="21"/>
                      <w:lang w:val="en-US" w:eastAsia="zh-CN"/>
                    </w:rPr>
                    <w:t>3</w:t>
                  </w:r>
                </w:p>
              </w:tc>
              <w:tc>
                <w:tcPr>
                  <w:tcW w:w="879" w:type="dxa"/>
                  <w:shd w:val="clear" w:color="auto" w:fill="auto"/>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昼间</w:t>
                  </w:r>
                </w:p>
              </w:tc>
              <w:tc>
                <w:tcPr>
                  <w:tcW w:w="1027" w:type="dxa"/>
                  <w:shd w:val="clear" w:color="auto" w:fill="auto"/>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lang w:val="en-US" w:eastAsia="zh-CN"/>
                    </w:rPr>
                    <w:t>21.5</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55.2</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55.20</w:t>
                  </w:r>
                </w:p>
              </w:tc>
              <w:tc>
                <w:tcPr>
                  <w:tcW w:w="1342"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w:t>
                  </w:r>
                  <w:r>
                    <w:rPr>
                      <w:rFonts w:hint="eastAsia" w:ascii="Times New Roman" w:hAnsi="Times New Roman" w:cs="Times New Roman"/>
                      <w:sz w:val="21"/>
                      <w:szCs w:val="21"/>
                      <w:lang w:val="en-US" w:eastAsia="zh-CN"/>
                    </w:rPr>
                    <w:t>5</w:t>
                  </w:r>
                </w:p>
              </w:tc>
              <w:tc>
                <w:tcPr>
                  <w:tcW w:w="1342" w:type="dxa"/>
                  <w:shd w:val="clear" w:color="auto" w:fill="auto"/>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hint="default" w:ascii="Times New Roman" w:hAnsi="Times New Roman" w:cs="Times New Roman"/>
                      <w:sz w:val="21"/>
                      <w:szCs w:val="21"/>
                    </w:rPr>
                    <w:t>N</w:t>
                  </w:r>
                  <w:r>
                    <w:rPr>
                      <w:rFonts w:hint="eastAsia" w:ascii="Times New Roman" w:hAnsi="Times New Roman" w:cs="Times New Roman"/>
                      <w:sz w:val="21"/>
                      <w:szCs w:val="21"/>
                      <w:lang w:val="en-US" w:eastAsia="zh-CN"/>
                    </w:rPr>
                    <w:t>4</w:t>
                  </w:r>
                </w:p>
              </w:tc>
              <w:tc>
                <w:tcPr>
                  <w:tcW w:w="879" w:type="dxa"/>
                  <w:shd w:val="clear" w:color="auto" w:fill="auto"/>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昼间</w:t>
                  </w:r>
                </w:p>
              </w:tc>
              <w:tc>
                <w:tcPr>
                  <w:tcW w:w="1027" w:type="dxa"/>
                  <w:shd w:val="clear" w:color="auto" w:fill="auto"/>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lang w:val="en-US" w:eastAsia="zh-CN"/>
                    </w:rPr>
                    <w:t>36.8</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56.3</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56.35</w:t>
                  </w:r>
                </w:p>
              </w:tc>
              <w:tc>
                <w:tcPr>
                  <w:tcW w:w="1342"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w:t>
                  </w:r>
                  <w:r>
                    <w:rPr>
                      <w:rFonts w:hint="eastAsia" w:ascii="Times New Roman" w:hAnsi="Times New Roman" w:cs="Times New Roman"/>
                      <w:sz w:val="21"/>
                      <w:szCs w:val="21"/>
                      <w:lang w:val="en-US" w:eastAsia="zh-CN"/>
                    </w:rPr>
                    <w:t>5</w:t>
                  </w:r>
                </w:p>
              </w:tc>
              <w:tc>
                <w:tcPr>
                  <w:tcW w:w="1342" w:type="dxa"/>
                  <w:shd w:val="clear" w:color="auto" w:fill="auto"/>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bl>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由上表可知，与本底值叠加后，厂界噪声值增加值不大，各厂界昼间噪声均能够达到《工业企业厂界环境噪声排放标准》（GB12348-2008）的</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类标准，对周围环境影响较小。</w:t>
            </w:r>
          </w:p>
          <w:p>
            <w:pPr>
              <w:spacing w:line="48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4、固体废物环境影响分析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本项目生活垃圾由环卫收集处理；一般固废外售综合利用；危险固废收集后委托有资质单位处理。</w:t>
            </w:r>
          </w:p>
          <w:p>
            <w:pPr>
              <w:numPr>
                <w:ilvl w:val="0"/>
                <w:numId w:val="4"/>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危险废物贮存场所（设施）环境影响分析</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本项目新建1座</w:t>
            </w:r>
            <w:r>
              <w:rPr>
                <w:rFonts w:hint="eastAsia" w:ascii="Times New Roman" w:hAnsi="Times New Roman" w:cs="Times New Roman"/>
                <w:color w:val="auto"/>
                <w:kern w:val="2"/>
                <w:sz w:val="24"/>
                <w:szCs w:val="24"/>
                <w:lang w:val="en-US" w:eastAsia="zh-CN"/>
              </w:rPr>
              <w:t>5</w:t>
            </w:r>
            <w:r>
              <w:rPr>
                <w:rFonts w:hint="default" w:ascii="Times New Roman" w:hAnsi="Times New Roman" w:eastAsia="宋体" w:cs="Times New Roman"/>
                <w:color w:val="auto"/>
                <w:kern w:val="2"/>
                <w:sz w:val="24"/>
                <w:szCs w:val="24"/>
              </w:rPr>
              <w:t>m</w:t>
            </w:r>
            <w:r>
              <w:rPr>
                <w:rFonts w:hint="default" w:ascii="Times New Roman" w:hAnsi="Times New Roman" w:eastAsia="宋体" w:cs="Times New Roman"/>
                <w:color w:val="auto"/>
                <w:kern w:val="2"/>
                <w:sz w:val="24"/>
                <w:szCs w:val="24"/>
                <w:vertAlign w:val="superscript"/>
              </w:rPr>
              <w:t>2</w:t>
            </w:r>
            <w:r>
              <w:rPr>
                <w:rFonts w:hint="default" w:ascii="Times New Roman" w:hAnsi="Times New Roman" w:eastAsia="宋体" w:cs="Times New Roman"/>
                <w:color w:val="auto"/>
                <w:kern w:val="2"/>
                <w:sz w:val="24"/>
                <w:szCs w:val="24"/>
              </w:rPr>
              <w:t>危废仓库，危废仓库按标准要求建设，不会对周围环境造成影响。</w:t>
            </w:r>
          </w:p>
          <w:p>
            <w:pPr>
              <w:numPr>
                <w:ilvl w:val="0"/>
                <w:numId w:val="4"/>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危险废物贮存场所（设施）的能力</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危废仓库最大容量约</w:t>
            </w:r>
            <w:r>
              <w:rPr>
                <w:rFonts w:hint="eastAsia" w:ascii="Times New Roman" w:hAnsi="Times New Roman" w:cs="Times New Roman"/>
                <w:color w:val="auto"/>
                <w:kern w:val="2"/>
                <w:sz w:val="24"/>
                <w:szCs w:val="24"/>
                <w:lang w:val="en-US" w:eastAsia="zh-CN"/>
              </w:rPr>
              <w:t>3.5</w:t>
            </w:r>
            <w:r>
              <w:rPr>
                <w:rFonts w:hint="default" w:ascii="Times New Roman" w:hAnsi="Times New Roman" w:eastAsia="宋体" w:cs="Times New Roman"/>
                <w:color w:val="auto"/>
                <w:kern w:val="2"/>
                <w:sz w:val="24"/>
                <w:szCs w:val="24"/>
              </w:rPr>
              <w:t>t，可以满足厂内危废3个月的储存量。</w:t>
            </w:r>
          </w:p>
          <w:p>
            <w:pPr>
              <w:pStyle w:val="17"/>
              <w:numPr>
                <w:ilvl w:val="0"/>
                <w:numId w:val="4"/>
              </w:numPr>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运输过程环境影响分析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本项目危废产生点距离危废仓库距离较短，且均经包装后运输至仓库，在运输过程中不会对周围环境造成影响。危废委托有资质单位运输至处置单位，运输过程的环境影响不在本报告评价范围内。</w:t>
            </w:r>
          </w:p>
          <w:p>
            <w:pPr>
              <w:pStyle w:val="17"/>
              <w:numPr>
                <w:ilvl w:val="0"/>
                <w:numId w:val="4"/>
              </w:numPr>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委托处置的环境影响分析</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根据建设项目周边有资质的危险废物处置单位的分布情况、处置能力、资质类别，本项目产生危废建议委托光大升达固废处置（常州）有限公司处置。</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光大升达固废处置（常州）有限公司已取得危险废物经营许可证，经营范围：回转窑焚烧处置医药废物（HW02）、废药物药品（HW03）、农药废物（HW04）、废有机溶剂与含有机溶剂废物（HW06）、热处理含氰废物（HW07）、废矿物油与含矿物油废物（HW08）、油/水、烃/水混合物或乳化液（HW09）、精（蒸）馏残渣（HW11）、染料涂料废物（HW12）、有机树脂类废物（HW13）、新化学物质废物（HW14）、感光材料废物（HW16）、表面处理废物（HW17）、含金属羰基化合物废物（HW19）、废酸（HW34）、废碱（HW35）、有机磷化合物废物（HW37）、有机氰化物废物（HW38）、含酚废物（HW39）、含醚废物（HW40）、含有机卤化物废物（HW45）、其他废物（HW49，仅限900-039-49、900-041-49、900-042-49、900-046-49、900-047-49、900-999-49）、废催化剂（HW50，仅限261-151-50、261-183-50、263-013-50、275-009-50、276-006-50）共计30000吨/年。</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本项目废活性炭（HW49 900-041-49）、废</w:t>
            </w:r>
            <w:r>
              <w:rPr>
                <w:rFonts w:hint="eastAsia" w:ascii="Times New Roman" w:hAnsi="Times New Roman" w:cs="Times New Roman"/>
                <w:color w:val="auto"/>
                <w:kern w:val="2"/>
                <w:sz w:val="24"/>
                <w:szCs w:val="24"/>
                <w:lang w:val="en-US" w:eastAsia="zh-CN"/>
              </w:rPr>
              <w:t>滤网</w:t>
            </w:r>
            <w:r>
              <w:rPr>
                <w:rFonts w:hint="default" w:ascii="Times New Roman" w:hAnsi="Times New Roman" w:eastAsia="宋体" w:cs="Times New Roman"/>
                <w:color w:val="auto"/>
                <w:kern w:val="2"/>
                <w:sz w:val="24"/>
                <w:szCs w:val="24"/>
              </w:rPr>
              <w:t>（HW49 900-041-49）共</w:t>
            </w:r>
            <w:r>
              <w:rPr>
                <w:rFonts w:hint="eastAsia" w:ascii="Times New Roman" w:hAnsi="Times New Roman" w:cs="Times New Roman"/>
                <w:color w:val="auto"/>
                <w:kern w:val="2"/>
                <w:sz w:val="24"/>
                <w:szCs w:val="24"/>
                <w:lang w:val="en-US" w:eastAsia="zh-CN"/>
              </w:rPr>
              <w:t>0.011</w:t>
            </w:r>
            <w:r>
              <w:rPr>
                <w:rFonts w:hint="default" w:ascii="Times New Roman" w:hAnsi="Times New Roman" w:eastAsia="宋体" w:cs="Times New Roman"/>
                <w:color w:val="auto"/>
                <w:kern w:val="2"/>
                <w:sz w:val="24"/>
                <w:szCs w:val="24"/>
              </w:rPr>
              <w:t>t/a，均在光大升达固废处置（常州）有限公司处置范围内，因此，光大升达固废处置（常州）有限公司有能力处理以上危废。</w:t>
            </w:r>
          </w:p>
          <w:p>
            <w:pPr>
              <w:pStyle w:val="17"/>
              <w:spacing w:line="360" w:lineRule="auto"/>
              <w:ind w:firstLine="480" w:firstLineChars="200"/>
              <w:rPr>
                <w:rFonts w:hint="default" w:ascii="Times New Roman" w:hAnsi="Times New Roman" w:cs="Times New Roman"/>
                <w:sz w:val="24"/>
                <w:szCs w:val="24"/>
              </w:rPr>
            </w:pPr>
            <w:r>
              <w:rPr>
                <w:rFonts w:hint="default" w:ascii="Times New Roman" w:hAnsi="Times New Roman" w:eastAsia="宋体" w:cs="Times New Roman"/>
                <w:color w:val="auto"/>
                <w:kern w:val="2"/>
                <w:sz w:val="24"/>
                <w:szCs w:val="24"/>
              </w:rPr>
              <w:t>本项目固体废物利用、处置及处理率达到100%，不直接排向外环境，一般工业固废仓库、危险固废仓</w:t>
            </w:r>
            <w:r>
              <w:rPr>
                <w:rFonts w:hint="default" w:ascii="Times New Roman" w:hAnsi="Times New Roman" w:cs="Times New Roman"/>
                <w:sz w:val="24"/>
                <w:szCs w:val="24"/>
              </w:rPr>
              <w:t>库按要求建设，不会产生“二次污染”，固体废物对周围环境无直接影响。</w:t>
            </w:r>
          </w:p>
          <w:p>
            <w:pPr>
              <w:spacing w:line="48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5、环境风险评价</w:t>
            </w:r>
          </w:p>
          <w:p>
            <w:pPr>
              <w:spacing w:line="48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rPr>
              <w:t>（1）</w:t>
            </w:r>
            <w:r>
              <w:rPr>
                <w:rFonts w:hint="default" w:ascii="Times New Roman" w:hAnsi="Times New Roman" w:cs="Times New Roman"/>
                <w:sz w:val="24"/>
                <w:szCs w:val="24"/>
                <w:lang w:val="en-US" w:eastAsia="zh-CN"/>
              </w:rPr>
              <w:t>评价工作等级划分</w:t>
            </w:r>
          </w:p>
          <w:p>
            <w:pPr>
              <w:spacing w:line="480" w:lineRule="exact"/>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根据《建设项目环境风险评价技术导则》（HJ169—2018），</w:t>
            </w:r>
            <w:r>
              <w:rPr>
                <w:rFonts w:hint="default" w:ascii="Times New Roman" w:hAnsi="Times New Roman" w:cs="Times New Roman"/>
                <w:sz w:val="24"/>
                <w:szCs w:val="24"/>
                <w:lang w:eastAsia="zh-CN"/>
              </w:rPr>
              <w:t>本项目涉及物料均不属于《建设项目环境风险评价技术导则》（HJ169—2018）附录 B 中所列风险物质。本项目</w:t>
            </w:r>
            <w:r>
              <w:rPr>
                <w:rFonts w:hint="default" w:ascii="Times New Roman" w:hAnsi="Times New Roman" w:cs="Times New Roman"/>
                <w:color w:val="auto"/>
                <w:sz w:val="21"/>
                <w:szCs w:val="21"/>
                <w:vertAlign w:val="baseline"/>
                <w:lang w:val="en-US" w:eastAsia="zh-CN"/>
              </w:rPr>
              <w:t>Q</w:t>
            </w:r>
            <w:r>
              <w:rPr>
                <w:rFonts w:hint="eastAsia" w:ascii="Times New Roman" w:hAnsi="Times New Roman" w:cs="Times New Roman"/>
                <w:color w:val="auto"/>
                <w:sz w:val="21"/>
                <w:szCs w:val="21"/>
                <w:vertAlign w:val="baseline"/>
                <w:lang w:val="en-US" w:eastAsia="zh-CN"/>
              </w:rPr>
              <w:t>=0</w:t>
            </w:r>
            <w:r>
              <w:rPr>
                <w:rFonts w:hint="default" w:ascii="Times New Roman" w:hAnsi="Times New Roman" w:cs="Times New Roman"/>
                <w:color w:val="auto"/>
                <w:sz w:val="21"/>
                <w:szCs w:val="21"/>
                <w:vertAlign w:val="baseline"/>
                <w:lang w:val="en-US" w:eastAsia="zh-CN"/>
              </w:rPr>
              <w:t>，</w:t>
            </w:r>
            <w:r>
              <w:rPr>
                <w:rFonts w:hint="default" w:ascii="Times New Roman" w:hAnsi="Times New Roman" w:cs="Times New Roman"/>
                <w:sz w:val="24"/>
                <w:szCs w:val="24"/>
                <w:lang w:eastAsia="zh-CN"/>
              </w:rPr>
              <w:t xml:space="preserve">环境风险势能直接判断为 I 等级，根据《建设项目环境风险评价技术导则》（HJ169—2018）相关要求，本项目评价内容进行简单分析。 </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w:t>
            </w:r>
            <w:r>
              <w:rPr>
                <w:rFonts w:hint="default" w:ascii="Times New Roman" w:hAnsi="Times New Roman" w:cs="Times New Roman"/>
                <w:sz w:val="24"/>
                <w:szCs w:val="24"/>
              </w:rPr>
              <w:t>风险识别</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rPr>
              <w:t>①</w:t>
            </w:r>
            <w:r>
              <w:rPr>
                <w:rFonts w:hint="default" w:ascii="Times New Roman" w:hAnsi="Times New Roman" w:cs="Times New Roman"/>
                <w:sz w:val="24"/>
                <w:szCs w:val="24"/>
              </w:rPr>
              <w:t>生产过程中可能存在的危险</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lang w:val="en-US" w:eastAsia="zh-CN"/>
              </w:rPr>
              <w:t>本项目使用的</w:t>
            </w:r>
            <w:r>
              <w:rPr>
                <w:rFonts w:hint="eastAsia" w:ascii="Times New Roman" w:hAnsi="Times New Roman" w:cs="Times New Roman"/>
                <w:sz w:val="24"/>
                <w:szCs w:val="24"/>
                <w:lang w:val="en-US" w:eastAsia="zh-CN"/>
              </w:rPr>
              <w:t>PVC粒子</w:t>
            </w:r>
            <w:r>
              <w:rPr>
                <w:rFonts w:hint="default" w:ascii="Times New Roman" w:hAnsi="Times New Roman" w:cs="Times New Roman"/>
                <w:sz w:val="24"/>
                <w:szCs w:val="24"/>
              </w:rPr>
              <w:t>如遇火源可能引起火灾事故</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对大气环境造成影响</w:t>
            </w:r>
            <w:r>
              <w:rPr>
                <w:rFonts w:hint="default" w:ascii="Times New Roman" w:hAnsi="Times New Roman" w:cs="Times New Roman"/>
                <w:sz w:val="24"/>
                <w:szCs w:val="24"/>
              </w:rPr>
              <w:t>。</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rPr>
              <w:t>②</w:t>
            </w:r>
            <w:r>
              <w:rPr>
                <w:rFonts w:hint="default" w:ascii="Times New Roman" w:hAnsi="Times New Roman" w:cs="Times New Roman"/>
                <w:sz w:val="24"/>
                <w:szCs w:val="24"/>
              </w:rPr>
              <w:t>公用工程、贮运工程及环保工程可能存在的危险</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配电间存在触电的危险、短路造成的火灾危险。</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（2）火灾次生环境污染分析</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本项目最危险的次生/伴生污染事故为发生火灾后，</w:t>
            </w:r>
            <w:r>
              <w:rPr>
                <w:rFonts w:hint="eastAsia" w:ascii="Times New Roman" w:hAnsi="Times New Roman" w:cs="Times New Roman"/>
                <w:sz w:val="24"/>
                <w:szCs w:val="24"/>
                <w:lang w:val="en-US" w:eastAsia="zh-CN"/>
              </w:rPr>
              <w:t>PVC粒子</w:t>
            </w:r>
            <w:r>
              <w:rPr>
                <w:rFonts w:hint="default" w:ascii="Times New Roman" w:hAnsi="Times New Roman" w:cs="Times New Roman"/>
                <w:sz w:val="24"/>
                <w:szCs w:val="24"/>
                <w:lang w:val="en-US" w:eastAsia="zh-CN"/>
              </w:rPr>
              <w:t>等</w:t>
            </w:r>
            <w:r>
              <w:rPr>
                <w:rFonts w:hint="default" w:ascii="Times New Roman" w:hAnsi="Times New Roman" w:cs="Times New Roman"/>
                <w:sz w:val="24"/>
                <w:szCs w:val="24"/>
              </w:rPr>
              <w:t>会产生伴生和次生危害。</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污染物浓度范围在几十至几百之间，短时间内对下风向的环境空气质量有一定的影响，长期影响较小。需根据现场事故状况采用合适的灭火方式，防止并减轻伴生次生危害的产生，尽量消除因火灾等而引起的环境污染事故。</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（3）风险防范措施</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rPr>
              <w:t>①</w:t>
            </w:r>
            <w:r>
              <w:rPr>
                <w:rFonts w:hint="default" w:ascii="Times New Roman" w:hAnsi="Times New Roman" w:cs="Times New Roman"/>
                <w:sz w:val="24"/>
                <w:szCs w:val="24"/>
              </w:rPr>
              <w:t>建构筑物防火、防爆措施</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对所有建筑物的防火要求，包括材料的选用、布置、构造、疏散等均按《建筑设计防火规范》、《建筑内部装修设计的防火规范》、《建筑灭火器配置设计规范》等要求进行设计与施工。</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rPr>
              <w:t>②</w:t>
            </w:r>
            <w:r>
              <w:rPr>
                <w:rFonts w:hint="default" w:ascii="Times New Roman" w:hAnsi="Times New Roman" w:cs="Times New Roman"/>
                <w:sz w:val="24"/>
                <w:szCs w:val="24"/>
              </w:rPr>
              <w:t>消防事故防范措施</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a、企业应建立严格的消防管理制度，在厂区内设置灭火器材，如手提式或推车式干粉灭火器；</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b、厂房室外设置地上式消火栓，厂房四周的消火栓间距不大于60米，车间及仓库设置室内消火栓；</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c、雨污排口设置截流阀。</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③泄露事故防范措施</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lang w:val="en-US" w:eastAsia="zh-CN"/>
              </w:rPr>
              <w:t>危废堆场、仓库</w:t>
            </w:r>
            <w:r>
              <w:rPr>
                <w:rFonts w:hint="default" w:ascii="Times New Roman" w:hAnsi="Times New Roman" w:cs="Times New Roman"/>
                <w:sz w:val="24"/>
                <w:szCs w:val="24"/>
              </w:rPr>
              <w:t>应做好“三防”措施，防止泄露的机油渗入地下，对地下水、土壤造成环境影响。</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（4）建立健全安全环境管理制度</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①</w:t>
            </w:r>
            <w:r>
              <w:rPr>
                <w:rFonts w:hint="default" w:ascii="Times New Roman" w:hAnsi="Times New Roman" w:cs="Times New Roman"/>
                <w:sz w:val="24"/>
                <w:szCs w:val="24"/>
              </w:rPr>
              <w:t>公司应建立健全的健康/安全/环境管理制度，并严格予以执行。</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②</w:t>
            </w:r>
            <w:r>
              <w:rPr>
                <w:rFonts w:hint="default" w:ascii="Times New Roman" w:hAnsi="Times New Roman" w:cs="Times New Roman"/>
                <w:sz w:val="24"/>
                <w:szCs w:val="24"/>
              </w:rPr>
              <w:t>严格执行我国有关的劳动安全、环境保护、工业卫生的规范和标准，最低限度的清除事故隐患，一旦发生事故应采取有效措施，降低因事故引起的损失和对环境的污染。</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③</w:t>
            </w:r>
            <w:r>
              <w:rPr>
                <w:rFonts w:hint="default" w:ascii="Times New Roman" w:hAnsi="Times New Roman" w:cs="Times New Roman"/>
                <w:sz w:val="24"/>
                <w:szCs w:val="24"/>
              </w:rPr>
              <w:t>加强工厂、车间的安全环保管理，对全厂职工进行安全环保的教育和培训，实行上岗证制度。</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④</w:t>
            </w:r>
            <w:r>
              <w:rPr>
                <w:rFonts w:hint="default" w:ascii="Times New Roman" w:hAnsi="Times New Roman" w:cs="Times New Roman"/>
                <w:sz w:val="24"/>
                <w:szCs w:val="24"/>
              </w:rPr>
              <w:t>定期检查生产和原料贮存区，杜绝事故隐患，降低事故发生概率。</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lang w:val="en-US" w:eastAsia="zh-CN"/>
              </w:rPr>
              <w:t>⑤</w:t>
            </w:r>
            <w:r>
              <w:rPr>
                <w:rFonts w:hint="default" w:ascii="Times New Roman" w:hAnsi="Times New Roman" w:cs="Times New Roman"/>
                <w:sz w:val="24"/>
                <w:szCs w:val="24"/>
              </w:rPr>
              <w:t>配备24小时有效的报警装置；</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⑥</w:t>
            </w:r>
            <w:r>
              <w:rPr>
                <w:rFonts w:hint="default" w:ascii="Times New Roman" w:hAnsi="Times New Roman" w:cs="Times New Roman"/>
                <w:sz w:val="24"/>
                <w:szCs w:val="24"/>
              </w:rPr>
              <w:t>应明确24小时有效的内部、外部通讯联络手段。</w:t>
            </w:r>
          </w:p>
          <w:p>
            <w:pPr>
              <w:pStyle w:val="17"/>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sz w:val="24"/>
                <w:szCs w:val="24"/>
              </w:rPr>
              <w:t>上述措施可满足本项目风险防范及应急需求且具有可行性。在采取规范化环境风险防范措施和应急措施的前提下，本项目环境风险可控。</w:t>
            </w:r>
          </w:p>
          <w:p>
            <w:pPr>
              <w:pStyle w:val="17"/>
              <w:spacing w:line="360" w:lineRule="auto"/>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表7-19 本项目环境风险简单分析内容表</w:t>
            </w:r>
          </w:p>
          <w:tbl>
            <w:tblPr>
              <w:tblStyle w:val="15"/>
              <w:tblW w:w="8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1351"/>
              <w:gridCol w:w="1351"/>
              <w:gridCol w:w="1351"/>
              <w:gridCol w:w="135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建设项目名称</w:t>
                  </w:r>
                </w:p>
              </w:tc>
              <w:tc>
                <w:tcPr>
                  <w:tcW w:w="675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sz w:val="21"/>
                      <w:szCs w:val="21"/>
                    </w:rPr>
                    <w:t>常州德而法电子科技有限公司年产200万条线束项目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建设地点</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 xml:space="preserve">（江苏）省 </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 xml:space="preserve">（常州）市 </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（武进）区</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 xml:space="preserve">（经济开发区）镇 </w:t>
                  </w:r>
                </w:p>
                <w:p>
                  <w:pPr>
                    <w:pStyle w:val="17"/>
                    <w:spacing w:line="360" w:lineRule="auto"/>
                    <w:rPr>
                      <w:rFonts w:hint="default" w:ascii="Times New Roman" w:hAnsi="Times New Roman" w:cs="Times New Roman"/>
                      <w:color w:val="auto"/>
                      <w:sz w:val="21"/>
                      <w:szCs w:val="21"/>
                      <w:vertAlign w:val="baseline"/>
                      <w:lang w:val="en-US" w:eastAsia="zh-CN"/>
                    </w:rPr>
                  </w:pPr>
                </w:p>
              </w:tc>
              <w:tc>
                <w:tcPr>
                  <w:tcW w:w="1352"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（西太湖科技产业）园区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地理坐标</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经度</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119.844135</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纬度</w:t>
                  </w:r>
                </w:p>
              </w:tc>
              <w:tc>
                <w:tcPr>
                  <w:tcW w:w="2703" w:type="dxa"/>
                  <w:gridSpan w:val="2"/>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31.7</w:t>
                  </w:r>
                  <w:r>
                    <w:rPr>
                      <w:rFonts w:hint="eastAsia" w:ascii="Times New Roman" w:hAnsi="Times New Roman" w:cs="Times New Roman"/>
                      <w:color w:val="auto"/>
                      <w:sz w:val="21"/>
                      <w:szCs w:val="21"/>
                      <w:vertAlign w:val="baseline"/>
                      <w:lang w:val="en-US" w:eastAsia="zh-CN"/>
                    </w:rPr>
                    <w:t>25458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主要危险物质及分布</w:t>
                  </w:r>
                </w:p>
              </w:tc>
              <w:tc>
                <w:tcPr>
                  <w:tcW w:w="675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主要危险物质：</w:t>
                  </w:r>
                  <w:r>
                    <w:rPr>
                      <w:rFonts w:hint="eastAsia" w:ascii="Times New Roman" w:hAnsi="Times New Roman" w:cs="Times New Roman"/>
                      <w:color w:val="auto"/>
                      <w:sz w:val="21"/>
                      <w:szCs w:val="21"/>
                      <w:vertAlign w:val="baseline"/>
                      <w:lang w:val="en-US" w:eastAsia="zh-CN"/>
                    </w:rPr>
                    <w:t>PVC粒子</w:t>
                  </w:r>
                </w:p>
                <w:p>
                  <w:pPr>
                    <w:pStyle w:val="17"/>
                    <w:spacing w:line="360" w:lineRule="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分布情况：仓库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环境影响途径 及危害后果（大气、地表水、地下水等</w:t>
                  </w:r>
                </w:p>
              </w:tc>
              <w:tc>
                <w:tcPr>
                  <w:tcW w:w="675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本项目使用的PVC粒子如遇火源可能引起火灾事故，对大气环境造成影响。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风险防范措施要求</w:t>
                  </w:r>
                </w:p>
              </w:tc>
              <w:tc>
                <w:tcPr>
                  <w:tcW w:w="675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设置专人定期检查仓库、危废堆场内的暂存情况；定期检查厂内各风险防范措施的完善情况，设置应急物资，建立健全应急防范机制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7" w:type="dxa"/>
                  <w:gridSpan w:val="6"/>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填表说明（列出项目相关信息及评价说明）：本项目Q</w:t>
                  </w:r>
                  <w:r>
                    <w:rPr>
                      <w:rFonts w:hint="eastAsia" w:ascii="Times New Roman" w:hAnsi="Times New Roman" w:cs="Times New Roman"/>
                      <w:color w:val="auto"/>
                      <w:sz w:val="21"/>
                      <w:szCs w:val="21"/>
                      <w:vertAlign w:val="baseline"/>
                      <w:lang w:val="en-US" w:eastAsia="zh-CN"/>
                    </w:rPr>
                    <w:t>=0</w:t>
                  </w:r>
                  <w:r>
                    <w:rPr>
                      <w:rFonts w:hint="default" w:ascii="Times New Roman" w:hAnsi="Times New Roman" w:cs="Times New Roman"/>
                      <w:color w:val="auto"/>
                      <w:sz w:val="21"/>
                      <w:szCs w:val="21"/>
                      <w:vertAlign w:val="baseline"/>
                      <w:lang w:val="en-US" w:eastAsia="zh-CN"/>
                    </w:rPr>
                    <w:t>，环境风险势能直接判断为I等级</w:t>
                  </w:r>
                </w:p>
              </w:tc>
            </w:tr>
          </w:tbl>
          <w:p>
            <w:pPr>
              <w:numPr>
                <w:ilvl w:val="0"/>
                <w:numId w:val="5"/>
              </w:numPr>
              <w:spacing w:line="480" w:lineRule="exact"/>
              <w:ind w:firstLine="480"/>
              <w:rPr>
                <w:rFonts w:hint="eastAsia" w:ascii="Times New Roman" w:hAnsi="Times New Roman" w:cs="Times New Roman"/>
                <w:b/>
                <w:sz w:val="24"/>
                <w:szCs w:val="24"/>
                <w:lang w:val="en-US" w:eastAsia="zh-CN"/>
              </w:rPr>
            </w:pPr>
            <w:r>
              <w:rPr>
                <w:rFonts w:hint="eastAsia" w:ascii="Times New Roman" w:hAnsi="Times New Roman" w:cs="Times New Roman"/>
                <w:b/>
                <w:sz w:val="24"/>
                <w:szCs w:val="24"/>
                <w:lang w:val="en-US" w:eastAsia="zh-CN"/>
              </w:rPr>
              <w:t>地下水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根据《环境影响评价技术导则 地下水环境》（HJ 610-2016）附录A，确定本项目所属行业类别属于Ⅳ类，因此，本项目不开展地下水环境影响评价。</w:t>
            </w:r>
          </w:p>
          <w:p>
            <w:pPr>
              <w:spacing w:line="480" w:lineRule="exact"/>
              <w:ind w:firstLine="480"/>
              <w:rPr>
                <w:rFonts w:hint="default" w:ascii="Times New Roman" w:hAnsi="Times New Roman" w:cs="Times New Roman"/>
                <w:b/>
                <w:sz w:val="24"/>
                <w:szCs w:val="24"/>
              </w:rPr>
            </w:pPr>
            <w:r>
              <w:rPr>
                <w:rFonts w:hint="eastAsia" w:ascii="Times New Roman" w:hAnsi="Times New Roman" w:cs="Times New Roman"/>
                <w:b/>
                <w:sz w:val="24"/>
                <w:szCs w:val="24"/>
                <w:lang w:val="en-US" w:eastAsia="zh-CN"/>
              </w:rPr>
              <w:t>7、</w:t>
            </w:r>
            <w:r>
              <w:rPr>
                <w:rFonts w:hint="default" w:ascii="Times New Roman" w:hAnsi="Times New Roman" w:cs="Times New Roman"/>
                <w:b/>
                <w:sz w:val="24"/>
                <w:szCs w:val="24"/>
              </w:rPr>
              <w:t>环境管理</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（1）环境管理机构</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建设项目应加强已构建的企业内部环境管理机构，对建设项目应配备专职环保人员1名，负责建设项目的环境保护监督管理工作。</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（2）污染治理设施的管理、监控制度</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建设项目必须确保污染治理设施长期、稳定、有效地运行，不得擅自拆除或者闲置污染治理设施，不得故意不正常使用污染治理设施。污染治理设施的管理必须与生产经营活动一起纳入公司日常管理工作的范畴，落实责任人、操作人员、维修人员、运行经费、设备的备品备件及其它原辅材料。同时要建立岗位责任制、制定操作规程、建立管理台帐。</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在污染治理设施的管理、监控制度上主要应做好以下几点：</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①认真贯彻执行国家有关环境保护法律、法规及相关文件，接受环境保护主管部门的监督和检查，定期上报各项环保管理工作的执行情况。</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②组织制定公司内部的环保管理规章制度，明确职责，并监督执行。</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③建立环境保护责任制度，采取有效措施，防治生产过程中或其他活动中产生的污染危害及对生态环境的破坏。</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④设专职环保人员，认真做好污染源及处理设施的监测、控制工作，及时解决运行中的环保问题，参与环境污染事故调查和处理工作。</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⑤做好工厂环保设施运行记录的档案管理工作，定期检查环境管理计划实施情况。</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⑥检查工厂内部环境治理设备的运转情况，日常维护及保养情况，保证其正常运行。</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⑦制定应急措施，避免重大环境安全事故的发生。</w:t>
            </w:r>
          </w:p>
          <w:p>
            <w:pPr>
              <w:spacing w:line="480" w:lineRule="exact"/>
              <w:ind w:firstLine="480"/>
              <w:rPr>
                <w:rFonts w:hint="default" w:ascii="Times New Roman" w:hAnsi="Times New Roman" w:cs="Times New Roman"/>
                <w:sz w:val="24"/>
                <w:szCs w:val="24"/>
              </w:rPr>
            </w:pPr>
            <w:r>
              <w:rPr>
                <w:rFonts w:hint="default" w:ascii="Times New Roman" w:hAnsi="Times New Roman" w:cs="Times New Roman"/>
                <w:bCs/>
                <w:sz w:val="24"/>
                <w:szCs w:val="24"/>
              </w:rPr>
              <w:t>⑧经常开展环保技术人员培训，提高环保人员技术水平。</w:t>
            </w:r>
          </w:p>
          <w:p>
            <w:pPr>
              <w:spacing w:line="480" w:lineRule="exact"/>
              <w:ind w:firstLine="482" w:firstLineChars="200"/>
              <w:rPr>
                <w:rFonts w:hint="default" w:ascii="Times New Roman" w:hAnsi="Times New Roman" w:cs="Times New Roman"/>
                <w:b/>
                <w:sz w:val="24"/>
                <w:szCs w:val="24"/>
              </w:rPr>
            </w:pPr>
            <w:r>
              <w:rPr>
                <w:rFonts w:hint="eastAsia" w:ascii="Times New Roman" w:hAnsi="Times New Roman" w:cs="Times New Roman"/>
                <w:b/>
                <w:sz w:val="24"/>
                <w:szCs w:val="24"/>
                <w:lang w:val="en-US" w:eastAsia="zh-CN"/>
              </w:rPr>
              <w:t>8</w:t>
            </w:r>
            <w:r>
              <w:rPr>
                <w:rFonts w:hint="default" w:ascii="Times New Roman" w:hAnsi="Times New Roman" w:cs="Times New Roman"/>
                <w:b/>
                <w:sz w:val="24"/>
                <w:szCs w:val="24"/>
              </w:rPr>
              <w:t>、污染源监测计划</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（1）污染物排放监测</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企业应委托监测单位定期监测大气、噪声、污水等各类污染物的排放。</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①废水建议检测项目及频率</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污水：污水接管口进行定期检测，每季度测一次，根据排放性质监测因子选取。</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监测因子：pH、COD、SS、NH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-N、TP、TN；</w:t>
            </w:r>
          </w:p>
          <w:p>
            <w:pPr>
              <w:spacing w:line="360" w:lineRule="auto"/>
              <w:ind w:firstLine="480"/>
              <w:jc w:val="center"/>
              <w:rPr>
                <w:rFonts w:hint="default" w:ascii="Times New Roman" w:hAnsi="Times New Roman" w:cs="Times New Roman"/>
                <w:b/>
                <w:sz w:val="24"/>
                <w:szCs w:val="24"/>
              </w:rPr>
            </w:pPr>
            <w:r>
              <w:rPr>
                <w:rFonts w:hint="default" w:ascii="Times New Roman" w:hAnsi="Times New Roman" w:cs="Times New Roman"/>
                <w:b/>
                <w:sz w:val="24"/>
                <w:szCs w:val="24"/>
              </w:rPr>
              <w:t>表7-</w:t>
            </w:r>
            <w:r>
              <w:rPr>
                <w:rFonts w:hint="default" w:ascii="Times New Roman" w:hAnsi="Times New Roman" w:cs="Times New Roman"/>
                <w:b/>
                <w:sz w:val="24"/>
                <w:szCs w:val="24"/>
                <w:lang w:val="en-US" w:eastAsia="zh-CN"/>
              </w:rPr>
              <w:t>20</w:t>
            </w:r>
            <w:r>
              <w:rPr>
                <w:rFonts w:hint="default" w:ascii="Times New Roman" w:hAnsi="Times New Roman" w:cs="Times New Roman"/>
                <w:b/>
                <w:sz w:val="24"/>
                <w:szCs w:val="24"/>
              </w:rPr>
              <w:t xml:space="preserve"> 环境监测计划及记录信息表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41"/>
              <w:gridCol w:w="811"/>
              <w:gridCol w:w="841"/>
              <w:gridCol w:w="653"/>
              <w:gridCol w:w="1101"/>
              <w:gridCol w:w="649"/>
              <w:gridCol w:w="649"/>
              <w:gridCol w:w="696"/>
              <w:gridCol w:w="779"/>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427"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序号</w:t>
                  </w:r>
                </w:p>
              </w:tc>
              <w:tc>
                <w:tcPr>
                  <w:tcW w:w="741"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排放口编号</w:t>
                  </w:r>
                </w:p>
              </w:tc>
              <w:tc>
                <w:tcPr>
                  <w:tcW w:w="811"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污染物名称</w:t>
                  </w:r>
                </w:p>
              </w:tc>
              <w:tc>
                <w:tcPr>
                  <w:tcW w:w="841"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监测设施</w:t>
                  </w:r>
                </w:p>
              </w:tc>
              <w:tc>
                <w:tcPr>
                  <w:tcW w:w="653"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自动监测设施安装位置</w:t>
                  </w:r>
                </w:p>
              </w:tc>
              <w:tc>
                <w:tcPr>
                  <w:tcW w:w="1101"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自动监测设施的安装、运行、维护等相关管理要求</w:t>
                  </w:r>
                </w:p>
              </w:tc>
              <w:tc>
                <w:tcPr>
                  <w:tcW w:w="649" w:type="dxa"/>
                  <w:vAlign w:val="top"/>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自动监测是否联网</w:t>
                  </w:r>
                </w:p>
              </w:tc>
              <w:tc>
                <w:tcPr>
                  <w:tcW w:w="649" w:type="dxa"/>
                  <w:vAlign w:val="top"/>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自动监测仪器名称</w:t>
                  </w:r>
                </w:p>
              </w:tc>
              <w:tc>
                <w:tcPr>
                  <w:tcW w:w="696"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手工监测采样方法及个数</w:t>
                  </w:r>
                </w:p>
              </w:tc>
              <w:tc>
                <w:tcPr>
                  <w:tcW w:w="779"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手工监测频次</w:t>
                  </w:r>
                </w:p>
              </w:tc>
              <w:tc>
                <w:tcPr>
                  <w:tcW w:w="955"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手工测定方法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27"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41" w:type="dxa"/>
                  <w:vMerge w:val="restart"/>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DW001</w:t>
                  </w:r>
                </w:p>
              </w:tc>
              <w:tc>
                <w:tcPr>
                  <w:tcW w:w="81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pH</w:t>
                  </w:r>
                </w:p>
              </w:tc>
              <w:tc>
                <w:tcPr>
                  <w:tcW w:w="84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□自动</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手工</w:t>
                  </w:r>
                </w:p>
              </w:tc>
              <w:tc>
                <w:tcPr>
                  <w:tcW w:w="653"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10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96" w:type="dxa"/>
                  <w:vMerge w:val="restart"/>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瞬时采样（3个瞬时样）</w:t>
                  </w:r>
                </w:p>
              </w:tc>
              <w:tc>
                <w:tcPr>
                  <w:tcW w:w="77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 次/季度</w:t>
                  </w:r>
                </w:p>
              </w:tc>
              <w:tc>
                <w:tcPr>
                  <w:tcW w:w="95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41" w:type="dxa"/>
                  <w:vMerge w:val="continue"/>
                  <w:vAlign w:val="center"/>
                </w:tcPr>
                <w:p>
                  <w:pPr>
                    <w:adjustRightInd w:val="0"/>
                    <w:snapToGrid w:val="0"/>
                    <w:jc w:val="center"/>
                    <w:rPr>
                      <w:rFonts w:hint="default" w:ascii="Times New Roman" w:hAnsi="Times New Roman" w:cs="Times New Roman"/>
                      <w:sz w:val="21"/>
                      <w:szCs w:val="21"/>
                    </w:rPr>
                  </w:pPr>
                </w:p>
              </w:tc>
              <w:tc>
                <w:tcPr>
                  <w:tcW w:w="81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84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□自动</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手工</w:t>
                  </w:r>
                </w:p>
              </w:tc>
              <w:tc>
                <w:tcPr>
                  <w:tcW w:w="653"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10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96" w:type="dxa"/>
                  <w:vMerge w:val="continue"/>
                  <w:vAlign w:val="center"/>
                </w:tcPr>
                <w:p>
                  <w:pPr>
                    <w:adjustRightInd w:val="0"/>
                    <w:snapToGrid w:val="0"/>
                    <w:jc w:val="center"/>
                    <w:rPr>
                      <w:rFonts w:hint="default" w:ascii="Times New Roman" w:hAnsi="Times New Roman" w:cs="Times New Roman"/>
                      <w:sz w:val="21"/>
                      <w:szCs w:val="21"/>
                    </w:rPr>
                  </w:pPr>
                </w:p>
              </w:tc>
              <w:tc>
                <w:tcPr>
                  <w:tcW w:w="77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 次/季度</w:t>
                  </w:r>
                </w:p>
              </w:tc>
              <w:tc>
                <w:tcPr>
                  <w:tcW w:w="95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重铬酸盐法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741" w:type="dxa"/>
                  <w:vMerge w:val="continue"/>
                  <w:vAlign w:val="center"/>
                </w:tcPr>
                <w:p>
                  <w:pPr>
                    <w:adjustRightInd w:val="0"/>
                    <w:snapToGrid w:val="0"/>
                    <w:jc w:val="center"/>
                    <w:rPr>
                      <w:rFonts w:hint="default" w:ascii="Times New Roman" w:hAnsi="Times New Roman" w:cs="Times New Roman"/>
                      <w:sz w:val="21"/>
                      <w:szCs w:val="21"/>
                    </w:rPr>
                  </w:pPr>
                </w:p>
              </w:tc>
              <w:tc>
                <w:tcPr>
                  <w:tcW w:w="81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SS</w:t>
                  </w:r>
                </w:p>
              </w:tc>
              <w:tc>
                <w:tcPr>
                  <w:tcW w:w="84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□自动</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手工</w:t>
                  </w:r>
                </w:p>
              </w:tc>
              <w:tc>
                <w:tcPr>
                  <w:tcW w:w="653"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10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96" w:type="dxa"/>
                  <w:vMerge w:val="continue"/>
                  <w:vAlign w:val="center"/>
                </w:tcPr>
                <w:p>
                  <w:pPr>
                    <w:adjustRightInd w:val="0"/>
                    <w:snapToGrid w:val="0"/>
                    <w:jc w:val="center"/>
                    <w:rPr>
                      <w:rFonts w:hint="default" w:ascii="Times New Roman" w:hAnsi="Times New Roman" w:cs="Times New Roman"/>
                      <w:sz w:val="21"/>
                      <w:szCs w:val="21"/>
                    </w:rPr>
                  </w:pPr>
                </w:p>
              </w:tc>
              <w:tc>
                <w:tcPr>
                  <w:tcW w:w="77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 次/季度</w:t>
                  </w:r>
                </w:p>
              </w:tc>
              <w:tc>
                <w:tcPr>
                  <w:tcW w:w="95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741" w:type="dxa"/>
                  <w:vMerge w:val="continue"/>
                  <w:vAlign w:val="center"/>
                </w:tcPr>
                <w:p>
                  <w:pPr>
                    <w:adjustRightInd w:val="0"/>
                    <w:snapToGrid w:val="0"/>
                    <w:jc w:val="center"/>
                    <w:rPr>
                      <w:rFonts w:hint="default" w:ascii="Times New Roman" w:hAnsi="Times New Roman" w:cs="Times New Roman"/>
                      <w:sz w:val="21"/>
                      <w:szCs w:val="21"/>
                    </w:rPr>
                  </w:pPr>
                </w:p>
              </w:tc>
              <w:tc>
                <w:tcPr>
                  <w:tcW w:w="81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84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□自动</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手工</w:t>
                  </w:r>
                </w:p>
              </w:tc>
              <w:tc>
                <w:tcPr>
                  <w:tcW w:w="653"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10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96" w:type="dxa"/>
                  <w:vMerge w:val="continue"/>
                  <w:vAlign w:val="center"/>
                </w:tcPr>
                <w:p>
                  <w:pPr>
                    <w:adjustRightInd w:val="0"/>
                    <w:snapToGrid w:val="0"/>
                    <w:jc w:val="center"/>
                    <w:rPr>
                      <w:rFonts w:hint="default" w:ascii="Times New Roman" w:hAnsi="Times New Roman" w:cs="Times New Roman"/>
                      <w:sz w:val="21"/>
                      <w:szCs w:val="21"/>
                    </w:rPr>
                  </w:pPr>
                </w:p>
              </w:tc>
              <w:tc>
                <w:tcPr>
                  <w:tcW w:w="77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 次/季度</w:t>
                  </w:r>
                </w:p>
              </w:tc>
              <w:tc>
                <w:tcPr>
                  <w:tcW w:w="95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水杨酸分光光度法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741" w:type="dxa"/>
                  <w:vMerge w:val="continue"/>
                  <w:vAlign w:val="center"/>
                </w:tcPr>
                <w:p>
                  <w:pPr>
                    <w:adjustRightInd w:val="0"/>
                    <w:snapToGrid w:val="0"/>
                    <w:jc w:val="center"/>
                    <w:rPr>
                      <w:rFonts w:hint="default" w:ascii="Times New Roman" w:hAnsi="Times New Roman" w:cs="Times New Roman"/>
                      <w:sz w:val="21"/>
                      <w:szCs w:val="21"/>
                    </w:rPr>
                  </w:pPr>
                </w:p>
              </w:tc>
              <w:tc>
                <w:tcPr>
                  <w:tcW w:w="81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TP</w:t>
                  </w:r>
                </w:p>
              </w:tc>
              <w:tc>
                <w:tcPr>
                  <w:tcW w:w="84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□自动</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手工</w:t>
                  </w:r>
                </w:p>
              </w:tc>
              <w:tc>
                <w:tcPr>
                  <w:tcW w:w="653"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10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96" w:type="dxa"/>
                  <w:vMerge w:val="continue"/>
                  <w:vAlign w:val="center"/>
                </w:tcPr>
                <w:p>
                  <w:pPr>
                    <w:adjustRightInd w:val="0"/>
                    <w:snapToGrid w:val="0"/>
                    <w:jc w:val="center"/>
                    <w:rPr>
                      <w:rFonts w:hint="default" w:ascii="Times New Roman" w:hAnsi="Times New Roman" w:cs="Times New Roman"/>
                      <w:sz w:val="21"/>
                      <w:szCs w:val="21"/>
                    </w:rPr>
                  </w:pPr>
                </w:p>
              </w:tc>
              <w:tc>
                <w:tcPr>
                  <w:tcW w:w="77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 次/季度</w:t>
                  </w:r>
                </w:p>
              </w:tc>
              <w:tc>
                <w:tcPr>
                  <w:tcW w:w="95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钼酸铵分光光度法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741" w:type="dxa"/>
                  <w:vMerge w:val="continue"/>
                  <w:vAlign w:val="center"/>
                </w:tcPr>
                <w:p>
                  <w:pPr>
                    <w:adjustRightInd w:val="0"/>
                    <w:snapToGrid w:val="0"/>
                    <w:jc w:val="center"/>
                    <w:rPr>
                      <w:rFonts w:hint="default" w:ascii="Times New Roman" w:hAnsi="Times New Roman" w:cs="Times New Roman"/>
                      <w:sz w:val="21"/>
                      <w:szCs w:val="21"/>
                    </w:rPr>
                  </w:pPr>
                </w:p>
              </w:tc>
              <w:tc>
                <w:tcPr>
                  <w:tcW w:w="81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TN</w:t>
                  </w:r>
                </w:p>
              </w:tc>
              <w:tc>
                <w:tcPr>
                  <w:tcW w:w="84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□自动</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手工</w:t>
                  </w:r>
                </w:p>
              </w:tc>
              <w:tc>
                <w:tcPr>
                  <w:tcW w:w="653"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101"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4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96" w:type="dxa"/>
                  <w:vMerge w:val="continue"/>
                  <w:vAlign w:val="center"/>
                </w:tcPr>
                <w:p>
                  <w:pPr>
                    <w:adjustRightInd w:val="0"/>
                    <w:snapToGrid w:val="0"/>
                    <w:jc w:val="center"/>
                    <w:rPr>
                      <w:rFonts w:hint="default" w:ascii="Times New Roman" w:hAnsi="Times New Roman" w:cs="Times New Roman"/>
                      <w:sz w:val="21"/>
                      <w:szCs w:val="21"/>
                    </w:rPr>
                  </w:pPr>
                </w:p>
              </w:tc>
              <w:tc>
                <w:tcPr>
                  <w:tcW w:w="779"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 次/季度</w:t>
                  </w:r>
                </w:p>
              </w:tc>
              <w:tc>
                <w:tcPr>
                  <w:tcW w:w="95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盐酸萘乙二胺分光光度法</w:t>
                  </w:r>
                </w:p>
              </w:tc>
            </w:tr>
          </w:tbl>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②废气建议监测项目及频率</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无组织废气：在无组织排放源下风向的厂界外5米处设置1个监控点，同时在上风向的厂界外5米处设置1个参照点进行定期监测，每年测1次，每次连续测2天，每天4次，监测因子为</w:t>
            </w:r>
            <w:r>
              <w:rPr>
                <w:rFonts w:hint="default" w:ascii="Times New Roman" w:hAnsi="Times New Roman" w:cs="Times New Roman"/>
                <w:sz w:val="24"/>
                <w:szCs w:val="24"/>
                <w:lang w:val="en-US" w:eastAsia="zh-CN"/>
              </w:rPr>
              <w:t>锡及其化合物、</w:t>
            </w:r>
            <w:r>
              <w:rPr>
                <w:rFonts w:hint="eastAsia" w:ascii="Times New Roman" w:hAnsi="Times New Roman" w:cs="Times New Roman"/>
                <w:sz w:val="24"/>
                <w:szCs w:val="24"/>
                <w:lang w:val="en-US" w:eastAsia="zh-CN"/>
              </w:rPr>
              <w:t>非甲烷总烃</w:t>
            </w:r>
            <w:r>
              <w:rPr>
                <w:rFonts w:hint="default" w:ascii="Times New Roman" w:hAnsi="Times New Roman" w:cs="Times New Roman"/>
                <w:sz w:val="24"/>
                <w:szCs w:val="24"/>
              </w:rPr>
              <w:t>，具体见下表。</w:t>
            </w:r>
          </w:p>
          <w:p>
            <w:pPr>
              <w:spacing w:line="360" w:lineRule="auto"/>
              <w:ind w:firstLine="480"/>
              <w:jc w:val="center"/>
              <w:rPr>
                <w:rFonts w:hint="default" w:ascii="Times New Roman" w:hAnsi="Times New Roman" w:cs="Times New Roman"/>
                <w:sz w:val="24"/>
                <w:szCs w:val="24"/>
              </w:rPr>
            </w:pPr>
            <w:r>
              <w:rPr>
                <w:rFonts w:hint="default" w:ascii="Times New Roman" w:hAnsi="Times New Roman" w:cs="Times New Roman"/>
                <w:b/>
                <w:sz w:val="24"/>
                <w:szCs w:val="24"/>
              </w:rPr>
              <w:t>表7-2</w:t>
            </w:r>
            <w:r>
              <w:rPr>
                <w:rFonts w:hint="default" w:ascii="Times New Roman" w:hAnsi="Times New Roman" w:cs="Times New Roman"/>
                <w:b/>
                <w:sz w:val="24"/>
                <w:szCs w:val="24"/>
                <w:lang w:val="en-US" w:eastAsia="zh-CN"/>
              </w:rPr>
              <w:t>1</w:t>
            </w:r>
            <w:r>
              <w:rPr>
                <w:rFonts w:hint="default" w:ascii="Times New Roman" w:hAnsi="Times New Roman" w:cs="Times New Roman"/>
                <w:b/>
                <w:sz w:val="24"/>
                <w:szCs w:val="24"/>
              </w:rPr>
              <w:t>大气污染源监测任务一览表</w:t>
            </w:r>
          </w:p>
          <w:tbl>
            <w:tblPr>
              <w:tblStyle w:val="14"/>
              <w:tblW w:w="83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19"/>
              <w:gridCol w:w="1855"/>
              <w:gridCol w:w="1732"/>
              <w:gridCol w:w="27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9" w:hRule="atLeast"/>
                <w:tblHeader/>
                <w:jc w:val="center"/>
              </w:trPr>
              <w:tc>
                <w:tcPr>
                  <w:tcW w:w="20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监测点位</w:t>
                  </w:r>
                </w:p>
              </w:tc>
              <w:tc>
                <w:tcPr>
                  <w:tcW w:w="1855"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监测指标</w:t>
                  </w:r>
                </w:p>
              </w:tc>
              <w:tc>
                <w:tcPr>
                  <w:tcW w:w="1732"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监测频次</w:t>
                  </w:r>
                </w:p>
              </w:tc>
              <w:tc>
                <w:tcPr>
                  <w:tcW w:w="2702"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执行排放标准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9" w:hRule="atLeast"/>
                <w:jc w:val="center"/>
              </w:trPr>
              <w:tc>
                <w:tcPr>
                  <w:tcW w:w="2019" w:type="dxa"/>
                  <w:vMerge w:val="restart"/>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无组织排放源下风向的厂界外5米处设置1个监控点，同时在上风向的厂界外5米处设置1个参照点</w:t>
                  </w:r>
                </w:p>
              </w:tc>
              <w:tc>
                <w:tcPr>
                  <w:tcW w:w="1855"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锡及其化合物</w:t>
                  </w:r>
                </w:p>
              </w:tc>
              <w:tc>
                <w:tcPr>
                  <w:tcW w:w="1732" w:type="dxa"/>
                  <w:vMerge w:val="restart"/>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每年测1次</w:t>
                  </w:r>
                </w:p>
              </w:tc>
              <w:tc>
                <w:tcPr>
                  <w:tcW w:w="2702" w:type="dxa"/>
                  <w:shd w:val="clear" w:color="auto" w:fill="FFFFFF"/>
                  <w:vAlign w:val="center"/>
                </w:tcPr>
                <w:p>
                  <w:pPr>
                    <w:pStyle w:val="43"/>
                    <w:spacing w:before="24" w:after="24"/>
                    <w:rPr>
                      <w:rFonts w:hint="default" w:ascii="Times New Roman" w:hAnsi="Times New Roman" w:cs="Times New Roman"/>
                      <w:bCs/>
                      <w:sz w:val="21"/>
                      <w:szCs w:val="21"/>
                    </w:rPr>
                  </w:pPr>
                  <w:r>
                    <w:rPr>
                      <w:rFonts w:hint="default" w:ascii="Times New Roman" w:hAnsi="Times New Roman" w:eastAsia="宋体" w:cs="Times New Roman"/>
                      <w:sz w:val="21"/>
                      <w:szCs w:val="21"/>
                    </w:rPr>
                    <w:t>《大气污染物综合排放标准》（GB16297-1996）表2二级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9" w:hRule="atLeast"/>
                <w:jc w:val="center"/>
              </w:trPr>
              <w:tc>
                <w:tcPr>
                  <w:tcW w:w="2019" w:type="dxa"/>
                  <w:vMerge w:val="continue"/>
                  <w:tcBorders/>
                  <w:shd w:val="clear" w:color="auto" w:fill="FFFFFF"/>
                  <w:vAlign w:val="center"/>
                </w:tcPr>
                <w:p>
                  <w:pPr>
                    <w:pStyle w:val="43"/>
                    <w:spacing w:before="24" w:after="24"/>
                    <w:rPr>
                      <w:rFonts w:hint="default" w:ascii="Times New Roman" w:hAnsi="Times New Roman" w:eastAsia="宋体" w:cs="Times New Roman"/>
                      <w:sz w:val="21"/>
                      <w:szCs w:val="21"/>
                    </w:rPr>
                  </w:pPr>
                </w:p>
              </w:tc>
              <w:tc>
                <w:tcPr>
                  <w:tcW w:w="1855" w:type="dxa"/>
                  <w:shd w:val="clear" w:color="auto" w:fill="FFFFFF"/>
                  <w:vAlign w:val="center"/>
                </w:tcPr>
                <w:p>
                  <w:pPr>
                    <w:pStyle w:val="43"/>
                    <w:spacing w:before="24" w:after="24"/>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非甲烷总烃</w:t>
                  </w:r>
                </w:p>
              </w:tc>
              <w:tc>
                <w:tcPr>
                  <w:tcW w:w="1732" w:type="dxa"/>
                  <w:vMerge w:val="continue"/>
                  <w:tcBorders/>
                  <w:shd w:val="clear" w:color="auto" w:fill="FFFFFF"/>
                  <w:vAlign w:val="center"/>
                </w:tcPr>
                <w:p>
                  <w:pPr>
                    <w:pStyle w:val="43"/>
                    <w:spacing w:before="24" w:after="24"/>
                    <w:rPr>
                      <w:rFonts w:hint="default" w:ascii="Times New Roman" w:hAnsi="Times New Roman" w:eastAsia="宋体" w:cs="Times New Roman"/>
                      <w:sz w:val="21"/>
                      <w:szCs w:val="21"/>
                    </w:rPr>
                  </w:pPr>
                </w:p>
              </w:tc>
              <w:tc>
                <w:tcPr>
                  <w:tcW w:w="2702"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《合成树脂工业污染物排放标准》（GB 31572-2015）</w:t>
                  </w:r>
                </w:p>
              </w:tc>
            </w:tr>
          </w:tbl>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③噪声建议监测点位及频率</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监测点：根据建设项目投产后的生产、环境状况，厂界四周设置噪声监测点。</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监测频率：每季度监测一次，每次一天，昼间监测一次。</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监测方法：按照《工业企业厂界环境噪声排放标准》（GB12348-2008）的有关规定进行监测。</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（2）验收监测</w:t>
            </w:r>
          </w:p>
          <w:p>
            <w:pPr>
              <w:tabs>
                <w:tab w:val="left" w:pos="2160"/>
              </w:tabs>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①废气监测计划</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监测点位：厂界下风向设置3个无组织排放监控点，上风向设置1个参照点；</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监测频次：按照环境管理要求进行监测；</w:t>
            </w:r>
          </w:p>
          <w:p>
            <w:pPr>
              <w:tabs>
                <w:tab w:val="left" w:pos="2160"/>
              </w:tabs>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废气监测位置、监测因子、频次等详见表7-2</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w:t>
            </w:r>
          </w:p>
          <w:p>
            <w:pPr>
              <w:pStyle w:val="34"/>
              <w:spacing w:beforeLines="0" w:line="400" w:lineRule="exac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表7-2</w:t>
            </w:r>
            <w:r>
              <w:rPr>
                <w:rFonts w:hint="default" w:ascii="Times New Roman" w:hAnsi="Times New Roman" w:cs="Times New Roman"/>
                <w:b/>
                <w:sz w:val="24"/>
                <w:szCs w:val="24"/>
                <w:lang w:val="en-US" w:eastAsia="zh-CN"/>
              </w:rPr>
              <w:t>2</w:t>
            </w:r>
            <w:r>
              <w:rPr>
                <w:rFonts w:hint="default" w:ascii="Times New Roman" w:hAnsi="Times New Roman" w:cs="Times New Roman"/>
                <w:b/>
                <w:sz w:val="24"/>
                <w:szCs w:val="24"/>
              </w:rPr>
              <w:t xml:space="preserve">  废气监测因子及频次表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431"/>
              <w:gridCol w:w="4438"/>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431"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监测点位</w:t>
                  </w:r>
                </w:p>
              </w:tc>
              <w:tc>
                <w:tcPr>
                  <w:tcW w:w="4438"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监测因子</w:t>
                  </w:r>
                </w:p>
              </w:tc>
              <w:tc>
                <w:tcPr>
                  <w:tcW w:w="1433"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431"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厂界无组织废气</w:t>
                  </w:r>
                </w:p>
              </w:tc>
              <w:tc>
                <w:tcPr>
                  <w:tcW w:w="4438" w:type="dxa"/>
                  <w:vAlign w:val="center"/>
                </w:tcPr>
                <w:p>
                  <w:pPr>
                    <w:pStyle w:val="43"/>
                    <w:spacing w:before="24" w:after="24"/>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非甲烷总烃</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锡及其化合物</w:t>
                  </w:r>
                </w:p>
              </w:tc>
              <w:tc>
                <w:tcPr>
                  <w:tcW w:w="1433" w:type="dxa"/>
                  <w:vAlign w:val="center"/>
                </w:tcPr>
                <w:p>
                  <w:pPr>
                    <w:snapToGrid w:val="0"/>
                    <w:spacing w:line="280" w:lineRule="exact"/>
                    <w:jc w:val="center"/>
                    <w:rPr>
                      <w:rFonts w:hint="default" w:ascii="Times New Roman" w:hAnsi="Times New Roman" w:cs="Times New Roman"/>
                      <w:sz w:val="21"/>
                      <w:szCs w:val="21"/>
                    </w:rPr>
                  </w:pPr>
                </w:p>
              </w:tc>
            </w:tr>
          </w:tbl>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②废水监测计划</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监测点位：本项目污水排放口。</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监测频次：按照环境管理要求进行监测。</w:t>
            </w:r>
          </w:p>
          <w:p>
            <w:pPr>
              <w:tabs>
                <w:tab w:val="left" w:pos="2160"/>
              </w:tabs>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废水监测位置、监测因子、频率等详见表7-2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w:t>
            </w:r>
          </w:p>
          <w:p>
            <w:pPr>
              <w:pStyle w:val="34"/>
              <w:spacing w:beforeLines="0" w:line="480" w:lineRule="exac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表7-2</w:t>
            </w:r>
            <w:r>
              <w:rPr>
                <w:rFonts w:hint="default" w:ascii="Times New Roman" w:hAnsi="Times New Roman" w:cs="Times New Roman"/>
                <w:b/>
                <w:sz w:val="24"/>
                <w:szCs w:val="24"/>
                <w:lang w:val="en-US" w:eastAsia="zh-CN"/>
              </w:rPr>
              <w:t>3</w:t>
            </w:r>
            <w:r>
              <w:rPr>
                <w:rFonts w:hint="default" w:ascii="Times New Roman" w:hAnsi="Times New Roman" w:cs="Times New Roman"/>
                <w:b/>
                <w:sz w:val="24"/>
                <w:szCs w:val="24"/>
              </w:rPr>
              <w:t xml:space="preserve"> 废水监测因子及频次表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57"/>
              <w:gridCol w:w="4644"/>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457"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监测点位</w:t>
                  </w:r>
                </w:p>
              </w:tc>
              <w:tc>
                <w:tcPr>
                  <w:tcW w:w="4644"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监测因子</w:t>
                  </w:r>
                </w:p>
              </w:tc>
              <w:tc>
                <w:tcPr>
                  <w:tcW w:w="2201"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457"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污水排放口</w:t>
                  </w:r>
                </w:p>
              </w:tc>
              <w:tc>
                <w:tcPr>
                  <w:tcW w:w="4644"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pH、COD、SS、NH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-N、TP、TN</w:t>
                  </w:r>
                </w:p>
              </w:tc>
              <w:tc>
                <w:tcPr>
                  <w:tcW w:w="2201"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按照环境管理要</w:t>
                  </w:r>
                </w:p>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求进行监测</w:t>
                  </w:r>
                </w:p>
              </w:tc>
            </w:tr>
          </w:tbl>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③厂界噪声监测计划</w:t>
            </w:r>
          </w:p>
          <w:p>
            <w:pPr>
              <w:snapToGri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监测点位：厂界四周布设4个点位；</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监测频次：按照环境管理要求进行监测；</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监测因子：厂界噪声昼间等效连续A声级Leq(A)。</w:t>
            </w:r>
          </w:p>
          <w:p>
            <w:pPr>
              <w:tabs>
                <w:tab w:val="left" w:pos="2160"/>
              </w:tabs>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噪声监测位置、监测因子、频率等详见表7-2</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w:t>
            </w:r>
          </w:p>
          <w:p>
            <w:pPr>
              <w:pStyle w:val="34"/>
              <w:spacing w:beforeLines="0" w:line="480" w:lineRule="exac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表7-2</w:t>
            </w:r>
            <w:r>
              <w:rPr>
                <w:rFonts w:hint="default" w:ascii="Times New Roman" w:hAnsi="Times New Roman" w:cs="Times New Roman"/>
                <w:b/>
                <w:sz w:val="24"/>
                <w:szCs w:val="24"/>
                <w:lang w:val="en-US" w:eastAsia="zh-CN"/>
              </w:rPr>
              <w:t>4</w:t>
            </w:r>
            <w:r>
              <w:rPr>
                <w:rFonts w:hint="default" w:ascii="Times New Roman" w:hAnsi="Times New Roman" w:cs="Times New Roman"/>
                <w:b/>
                <w:sz w:val="24"/>
                <w:szCs w:val="24"/>
              </w:rPr>
              <w:t xml:space="preserve">  噪声监测因子及频次表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07"/>
              <w:gridCol w:w="206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207"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监测点位</w:t>
                  </w:r>
                </w:p>
              </w:tc>
              <w:tc>
                <w:tcPr>
                  <w:tcW w:w="2061"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监测因子</w:t>
                  </w:r>
                </w:p>
              </w:tc>
              <w:tc>
                <w:tcPr>
                  <w:tcW w:w="3034"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207"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厂界四周</w:t>
                  </w:r>
                </w:p>
              </w:tc>
              <w:tc>
                <w:tcPr>
                  <w:tcW w:w="2061"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昼间等效连续A声级</w:t>
                  </w:r>
                </w:p>
              </w:tc>
              <w:tc>
                <w:tcPr>
                  <w:tcW w:w="3034"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按照环境管理要求进行监测</w:t>
                  </w:r>
                </w:p>
              </w:tc>
            </w:tr>
          </w:tbl>
          <w:p>
            <w:pPr>
              <w:spacing w:line="480" w:lineRule="exact"/>
              <w:ind w:firstLine="482" w:firstLineChars="200"/>
              <w:rPr>
                <w:rFonts w:hint="default" w:ascii="Times New Roman" w:hAnsi="Times New Roman" w:cs="Times New Roman"/>
                <w:b/>
                <w:sz w:val="24"/>
                <w:szCs w:val="24"/>
              </w:rPr>
            </w:pPr>
            <w:r>
              <w:rPr>
                <w:rFonts w:hint="eastAsia" w:ascii="Times New Roman" w:hAnsi="Times New Roman" w:cs="Times New Roman"/>
                <w:b/>
                <w:sz w:val="24"/>
                <w:szCs w:val="24"/>
                <w:lang w:val="en-US" w:eastAsia="zh-CN"/>
              </w:rPr>
              <w:t>9</w:t>
            </w:r>
            <w:r>
              <w:rPr>
                <w:rFonts w:hint="default" w:ascii="Times New Roman" w:hAnsi="Times New Roman" w:cs="Times New Roman"/>
                <w:b/>
                <w:sz w:val="24"/>
                <w:szCs w:val="24"/>
              </w:rPr>
              <w:t>、污染物排污口规范化设置</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（1）废水排放口</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排水系统按“清污分流、雨污分流”原则设计。全厂在排入市政污水管网之前设置废水接管口1个，雨水排放口1个，并在污水接管口设置便于采样的采样井。污水接管口在厂区范围内设计成明渠，并配备符合要求的污水流量计，在明渠附近设置符合规定的环境保护图形标牌，标明主要污染物名称、废水排放量等，实行排污口立标管理。雨水排放口设置可控闸门。</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项目厂区内污水管网采用明管输送，应标识污水来源（生活污水），必须经闭水试验合格后方可投入使用，雨、污水排水管网图应分别在雨、污水排放口附近上墙明示。</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）固定噪声源</w:t>
            </w:r>
          </w:p>
          <w:p>
            <w:pPr>
              <w:autoSpaceDE w:val="0"/>
              <w:autoSpaceDN w:val="0"/>
              <w:adjustRightIn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根据不同噪声源的情况，采取减振降噪、吸声、隔声等措施，使厂界达到相应功能区的标准要求。在厂界噪声敏感且对外界影响最大处设置固定噪声源的监测点和噪声环境保护图形标志牌。</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）固体废物贮存（处置）场所</w:t>
            </w:r>
          </w:p>
          <w:p>
            <w:pPr>
              <w:autoSpaceDE w:val="0"/>
              <w:autoSpaceDN w:val="0"/>
              <w:adjustRightIn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各种固体废物处置设施、堆放场所有防火、防扬散、防流失、防淋雨、防腐蚀、防渗漏或者其它防止污染环境的措施，禁止将危险废物混入非危险废物中贮存，在醒目处设置环境保护图形标志牌。</w:t>
            </w:r>
          </w:p>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表7-2</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 xml:space="preserve"> 污染物排放清单</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201"/>
              <w:gridCol w:w="244"/>
              <w:gridCol w:w="497"/>
              <w:gridCol w:w="919"/>
              <w:gridCol w:w="714"/>
              <w:gridCol w:w="631"/>
              <w:gridCol w:w="746"/>
              <w:gridCol w:w="1836"/>
              <w:gridCol w:w="747"/>
              <w:gridCol w:w="746"/>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gridSpan w:val="3"/>
                  <w:vMerge w:val="restart"/>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种类</w:t>
                  </w:r>
                </w:p>
              </w:tc>
              <w:tc>
                <w:tcPr>
                  <w:tcW w:w="1416" w:type="dxa"/>
                  <w:gridSpan w:val="2"/>
                  <w:vMerge w:val="restart"/>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环境保护措施</w:t>
                  </w:r>
                </w:p>
              </w:tc>
              <w:tc>
                <w:tcPr>
                  <w:tcW w:w="714"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污染物</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631"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排放浓度mg/L</w:t>
                  </w:r>
                </w:p>
              </w:tc>
              <w:tc>
                <w:tcPr>
                  <w:tcW w:w="746"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排放量</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t/a</w:t>
                  </w:r>
                </w:p>
              </w:tc>
              <w:tc>
                <w:tcPr>
                  <w:tcW w:w="258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执行标准</w:t>
                  </w:r>
                </w:p>
              </w:tc>
              <w:tc>
                <w:tcPr>
                  <w:tcW w:w="136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总量控制t/a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gridSpan w:val="3"/>
                  <w:vMerge w:val="continue"/>
                  <w:tcBorders>
                    <w:bottom w:val="single" w:color="auto" w:sz="2" w:space="0"/>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bottom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631"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46" w:type="dxa"/>
                  <w:vMerge w:val="continue"/>
                  <w:vAlign w:val="center"/>
                </w:tcPr>
                <w:p>
                  <w:pPr>
                    <w:spacing w:line="300" w:lineRule="exact"/>
                    <w:jc w:val="center"/>
                    <w:rPr>
                      <w:rFonts w:hint="default" w:ascii="Times New Roman" w:hAnsi="Times New Roman" w:cs="Times New Roman"/>
                      <w:sz w:val="21"/>
                      <w:szCs w:val="21"/>
                    </w:rPr>
                  </w:pPr>
                </w:p>
              </w:tc>
              <w:tc>
                <w:tcPr>
                  <w:tcW w:w="1836" w:type="dxa"/>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747" w:type="dxa"/>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浓度mg/L</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控制总量</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考核总量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restart"/>
                  <w:tcBorders>
                    <w:top w:val="single" w:color="auto" w:sz="2" w:space="0"/>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废水</w:t>
                  </w:r>
                </w:p>
              </w:tc>
              <w:tc>
                <w:tcPr>
                  <w:tcW w:w="445" w:type="dxa"/>
                  <w:gridSpan w:val="2"/>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生活污水</w:t>
                  </w:r>
                </w:p>
              </w:tc>
              <w:tc>
                <w:tcPr>
                  <w:tcW w:w="1416" w:type="dxa"/>
                  <w:gridSpan w:val="2"/>
                  <w:vMerge w:val="restart"/>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化粪池</w:t>
                  </w:r>
                  <w:r>
                    <w:rPr>
                      <w:rFonts w:hint="default" w:ascii="Times New Roman" w:hAnsi="Times New Roman" w:cs="Times New Roman"/>
                      <w:sz w:val="21"/>
                      <w:szCs w:val="21"/>
                    </w:rPr>
                    <w:t>处理</w:t>
                  </w:r>
                </w:p>
              </w:tc>
              <w:tc>
                <w:tcPr>
                  <w:tcW w:w="714" w:type="dxa"/>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z w:val="21"/>
                      <w:szCs w:val="21"/>
                    </w:rPr>
                    <w:t>废水量</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jc w:val="center"/>
                    <w:textAlignment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24</w:t>
                  </w:r>
                  <w:r>
                    <w:rPr>
                      <w:rFonts w:hint="default" w:ascii="Times New Roman" w:hAnsi="Times New Roman" w:cs="Times New Roman"/>
                      <w:sz w:val="21"/>
                      <w:szCs w:val="21"/>
                    </w:rPr>
                    <w:t>0</w:t>
                  </w:r>
                </w:p>
              </w:tc>
              <w:tc>
                <w:tcPr>
                  <w:tcW w:w="1836" w:type="dxa"/>
                  <w:vMerge w:val="restart"/>
                  <w:tcBorders>
                    <w:right w:val="single" w:color="auto" w:sz="2" w:space="0"/>
                  </w:tcBorders>
                  <w:vAlign w:val="center"/>
                </w:tcPr>
                <w:p>
                  <w:pPr>
                    <w:pStyle w:val="33"/>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武进城区污水处理厂接管标准</w:t>
                  </w:r>
                </w:p>
              </w:tc>
              <w:tc>
                <w:tcPr>
                  <w:tcW w:w="747" w:type="dxa"/>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363" w:type="dxa"/>
                  <w:gridSpan w:val="2"/>
                  <w:vAlign w:val="center"/>
                </w:tcPr>
                <w:p>
                  <w:pPr>
                    <w:spacing w:line="300" w:lineRule="exact"/>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24</w:t>
                  </w:r>
                  <w:r>
                    <w:rPr>
                      <w:rFonts w:hint="default" w:ascii="Times New Roman" w:hAns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gridSpan w:val="2"/>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z w:val="21"/>
                      <w:szCs w:val="21"/>
                    </w:rPr>
                    <w:t>COD</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350</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pStyle w:val="33"/>
                    <w:adjustRightInd/>
                    <w:snapToGrid/>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gridSpan w:val="2"/>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z w:val="21"/>
                      <w:szCs w:val="21"/>
                    </w:rPr>
                    <w:t>SS</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250</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pStyle w:val="33"/>
                    <w:adjustRightInd/>
                    <w:snapToGrid/>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gridSpan w:val="2"/>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pStyle w:val="33"/>
                    <w:adjustRightInd/>
                    <w:snapToGrid/>
                    <w:jc w:val="center"/>
                    <w:rPr>
                      <w:rFonts w:hint="default" w:ascii="Times New Roman" w:hAnsi="Times New Roman" w:cs="Times New Roman"/>
                      <w:sz w:val="21"/>
                      <w:szCs w:val="21"/>
                    </w:rPr>
                  </w:pPr>
                  <w:r>
                    <w:rPr>
                      <w:rFonts w:hint="default" w:ascii="Times New Roman" w:hAnsi="Times New Roman" w:cs="Times New Roman"/>
                      <w:sz w:val="21"/>
                      <w:szCs w:val="21"/>
                    </w:rPr>
                    <w:t>45</w:t>
                  </w:r>
                </w:p>
              </w:tc>
              <w:tc>
                <w:tcPr>
                  <w:tcW w:w="746"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0.0084</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gridSpan w:val="2"/>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z w:val="21"/>
                      <w:szCs w:val="21"/>
                    </w:rPr>
                    <w:t>TP</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746"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0.0012</w:t>
                  </w:r>
                </w:p>
              </w:tc>
              <w:tc>
                <w:tcPr>
                  <w:tcW w:w="617" w:type="dxa"/>
                  <w:vAlign w:val="center"/>
                </w:tcPr>
                <w:p>
                  <w:pPr>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gridSpan w:val="2"/>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TN</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70</w:t>
                  </w:r>
                </w:p>
              </w:tc>
              <w:tc>
                <w:tcPr>
                  <w:tcW w:w="746"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c>
                <w:tcPr>
                  <w:tcW w:w="617" w:type="dxa"/>
                  <w:vAlign w:val="center"/>
                </w:tcPr>
                <w:p>
                  <w:pPr>
                    <w:jc w:val="center"/>
                    <w:textAlignment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404" w:type="dxa"/>
                  <w:vMerge w:val="restart"/>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201" w:type="dxa"/>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有</w:t>
                  </w:r>
                </w:p>
                <w:p>
                  <w:pPr>
                    <w:spacing w:line="300" w:lineRule="exact"/>
                    <w:jc w:val="both"/>
                    <w:rPr>
                      <w:rFonts w:hint="default" w:ascii="Times New Roman" w:hAnsi="Times New Roman" w:cs="Times New Roman"/>
                      <w:sz w:val="21"/>
                      <w:szCs w:val="21"/>
                    </w:rPr>
                  </w:pP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织</w:t>
                  </w:r>
                </w:p>
              </w:tc>
              <w:tc>
                <w:tcPr>
                  <w:tcW w:w="244" w:type="dxa"/>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排气筒</w:t>
                  </w:r>
                </w:p>
              </w:tc>
              <w:tc>
                <w:tcPr>
                  <w:tcW w:w="497" w:type="dxa"/>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废气量</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/h</w:t>
                  </w:r>
                </w:p>
              </w:tc>
              <w:tc>
                <w:tcPr>
                  <w:tcW w:w="919"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环保措施</w:t>
                  </w:r>
                </w:p>
              </w:tc>
              <w:tc>
                <w:tcPr>
                  <w:tcW w:w="714" w:type="dxa"/>
                  <w:vMerge w:val="restart"/>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napToGrid w:val="0"/>
                      <w:sz w:val="21"/>
                      <w:szCs w:val="21"/>
                    </w:rPr>
                    <w:t>污染物</w:t>
                  </w:r>
                </w:p>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napToGrid w:val="0"/>
                      <w:sz w:val="21"/>
                      <w:szCs w:val="21"/>
                    </w:rPr>
                    <w:t>名称</w:t>
                  </w:r>
                </w:p>
              </w:tc>
              <w:tc>
                <w:tcPr>
                  <w:tcW w:w="631"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排放浓度</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746"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排放量</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t/a</w:t>
                  </w:r>
                </w:p>
              </w:tc>
              <w:tc>
                <w:tcPr>
                  <w:tcW w:w="1836"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执行标准</w:t>
                  </w:r>
                </w:p>
              </w:tc>
              <w:tc>
                <w:tcPr>
                  <w:tcW w:w="747"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浓度限值</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136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总量控制t/a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201"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244" w:type="dxa"/>
                  <w:vMerge w:val="continue"/>
                  <w:tcBorders>
                    <w:bottom w:val="single" w:color="auto" w:sz="2" w:space="0"/>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497" w:type="dxa"/>
                  <w:vMerge w:val="continue"/>
                  <w:tcBorders>
                    <w:bottom w:val="single" w:color="auto" w:sz="2" w:space="0"/>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919" w:type="dxa"/>
                  <w:vMerge w:val="continue"/>
                  <w:tcBorders>
                    <w:bottom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14"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631"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46" w:type="dxa"/>
                  <w:vMerge w:val="continue"/>
                  <w:vAlign w:val="center"/>
                </w:tcPr>
                <w:p>
                  <w:pPr>
                    <w:spacing w:line="300" w:lineRule="exact"/>
                    <w:jc w:val="center"/>
                    <w:rPr>
                      <w:rFonts w:hint="default" w:ascii="Times New Roman" w:hAnsi="Times New Roman" w:cs="Times New Roman"/>
                      <w:sz w:val="21"/>
                      <w:szCs w:val="21"/>
                    </w:rPr>
                  </w:pPr>
                </w:p>
              </w:tc>
              <w:tc>
                <w:tcPr>
                  <w:tcW w:w="1836" w:type="dxa"/>
                  <w:vMerge w:val="continue"/>
                  <w:vAlign w:val="center"/>
                </w:tcPr>
                <w:p>
                  <w:pPr>
                    <w:spacing w:line="300" w:lineRule="exact"/>
                    <w:jc w:val="center"/>
                    <w:rPr>
                      <w:rFonts w:hint="default" w:ascii="Times New Roman" w:hAnsi="Times New Roman" w:cs="Times New Roman"/>
                      <w:sz w:val="21"/>
                      <w:szCs w:val="21"/>
                    </w:rPr>
                  </w:pPr>
                </w:p>
              </w:tc>
              <w:tc>
                <w:tcPr>
                  <w:tcW w:w="747"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控制量</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考核量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restart"/>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942" w:type="dxa"/>
                  <w:gridSpan w:val="3"/>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无组织</w:t>
                  </w:r>
                </w:p>
              </w:tc>
              <w:tc>
                <w:tcPr>
                  <w:tcW w:w="919" w:type="dxa"/>
                  <w:vMerge w:val="restart"/>
                  <w:tcMar>
                    <w:left w:w="0" w:type="dxa"/>
                    <w:right w:w="0" w:type="dxa"/>
                  </w:tcMar>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val="en-US" w:eastAsia="zh-CN"/>
                    </w:rPr>
                    <w:t>/</w:t>
                  </w:r>
                </w:p>
              </w:tc>
              <w:tc>
                <w:tcPr>
                  <w:tcW w:w="714"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锡及其化合物</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Times New Roman" w:hAnsi="Times New Roman" w:eastAsia="宋体" w:cs="Times New Roman"/>
                      <w:i w:val="0"/>
                      <w:color w:val="000000"/>
                      <w:sz w:val="21"/>
                      <w:szCs w:val="21"/>
                      <w:u w:val="none"/>
                      <w:lang w:val="en-US" w:eastAsia="zh-CN"/>
                    </w:rPr>
                    <w:t>0.00095</w:t>
                  </w:r>
                </w:p>
              </w:tc>
              <w:tc>
                <w:tcPr>
                  <w:tcW w:w="1836" w:type="dxa"/>
                  <w:vAlign w:val="center"/>
                </w:tcPr>
                <w:p>
                  <w:pPr>
                    <w:pStyle w:val="43"/>
                    <w:spacing w:before="24" w:after="24"/>
                    <w:jc w:val="center"/>
                    <w:rPr>
                      <w:rFonts w:hint="default" w:ascii="Times New Roman" w:hAnsi="Times New Roman" w:cs="Times New Roman"/>
                      <w:sz w:val="21"/>
                      <w:szCs w:val="21"/>
                    </w:rPr>
                  </w:pPr>
                  <w:r>
                    <w:rPr>
                      <w:rFonts w:hint="default" w:ascii="Times New Roman" w:hAnsi="Times New Roman" w:eastAsia="宋体" w:cs="Times New Roman"/>
                      <w:sz w:val="21"/>
                      <w:szCs w:val="21"/>
                    </w:rPr>
                    <w:t>《大气污染物综合排放标准》（GB16297-1996）表2二级</w:t>
                  </w:r>
                </w:p>
              </w:tc>
              <w:tc>
                <w:tcPr>
                  <w:tcW w:w="747" w:type="dxa"/>
                  <w:tcMar>
                    <w:left w:w="0" w:type="dxa"/>
                    <w:right w:w="0" w:type="dxa"/>
                  </w:tcMar>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0.24</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942" w:type="dxa"/>
                  <w:gridSpan w:val="3"/>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919"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Times New Roman" w:hAnsi="Times New Roman" w:eastAsia="宋体" w:cs="Times New Roman"/>
                      <w:i w:val="0"/>
                      <w:color w:val="000000"/>
                      <w:kern w:val="0"/>
                      <w:sz w:val="21"/>
                      <w:szCs w:val="21"/>
                      <w:u w:val="none"/>
                      <w:lang w:val="en-US" w:eastAsia="zh-CN" w:bidi="ar"/>
                    </w:rPr>
                    <w:t>非甲烷总烃</w:t>
                  </w:r>
                  <w:r>
                    <w:rPr>
                      <w:rFonts w:hint="default" w:ascii="Times New Roman" w:hAnsi="Times New Roman" w:eastAsia="宋体" w:cs="Times New Roman"/>
                      <w:i w:val="0"/>
                      <w:color w:val="000000"/>
                      <w:kern w:val="0"/>
                      <w:sz w:val="21"/>
                      <w:szCs w:val="21"/>
                      <w:u w:val="none"/>
                      <w:lang w:val="en-US" w:eastAsia="zh-CN" w:bidi="ar"/>
                    </w:rPr>
                    <w:t>合物）</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Times New Roman" w:hAnsi="Times New Roman" w:eastAsia="宋体" w:cs="Times New Roman"/>
                      <w:i w:val="0"/>
                      <w:color w:val="000000"/>
                      <w:sz w:val="21"/>
                      <w:szCs w:val="21"/>
                      <w:u w:val="none"/>
                      <w:lang w:val="en-US" w:eastAsia="zh-CN"/>
                    </w:rPr>
                    <w:t>0.00006</w:t>
                  </w:r>
                </w:p>
              </w:tc>
              <w:tc>
                <w:tcPr>
                  <w:tcW w:w="1836" w:type="dxa"/>
                  <w:vAlign w:val="center"/>
                </w:tcPr>
                <w:p>
                  <w:pPr>
                    <w:pStyle w:val="43"/>
                    <w:spacing w:before="24" w:after="24"/>
                    <w:jc w:val="center"/>
                    <w:rPr>
                      <w:rFonts w:hint="default" w:ascii="Times New Roman" w:hAnsi="Times New Roman" w:cs="Times New Roman"/>
                      <w:sz w:val="21"/>
                      <w:szCs w:val="21"/>
                    </w:rPr>
                  </w:pPr>
                  <w:r>
                    <w:rPr>
                      <w:rFonts w:hint="default" w:ascii="Times New Roman" w:hAnsi="Times New Roman" w:eastAsia="宋体" w:cs="Times New Roman"/>
                      <w:sz w:val="21"/>
                      <w:szCs w:val="21"/>
                    </w:rPr>
                    <w:t>《合成树脂工业污染物排放标准》（GB 31572-2015）</w:t>
                  </w:r>
                </w:p>
              </w:tc>
              <w:tc>
                <w:tcPr>
                  <w:tcW w:w="747" w:type="dxa"/>
                  <w:tcMar>
                    <w:left w:w="0" w:type="dxa"/>
                    <w:right w:w="0" w:type="dxa"/>
                  </w:tcMar>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60</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4"/>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919"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隔声、消声</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L</w:t>
                  </w:r>
                  <w:r>
                    <w:rPr>
                      <w:rFonts w:hint="default" w:ascii="Times New Roman" w:hAnsi="Times New Roman" w:cs="Times New Roman"/>
                      <w:sz w:val="21"/>
                      <w:szCs w:val="21"/>
                      <w:vertAlign w:val="subscript"/>
                    </w:rPr>
                    <w:t>Aeq</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2583" w:type="dxa"/>
                  <w:gridSpan w:val="2"/>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 xml:space="preserve">《工业企业厂界环境噪声排放标准》(GB12348-2008)  </w:t>
                  </w:r>
                  <w:r>
                    <w:rPr>
                      <w:rFonts w:hint="eastAsia" w:ascii="Times New Roman" w:hAnsi="Times New Roman" w:cs="Times New Roman"/>
                      <w:spacing w:val="-6"/>
                      <w:sz w:val="21"/>
                      <w:szCs w:val="21"/>
                      <w:lang w:val="en-US" w:eastAsia="zh-CN"/>
                    </w:rPr>
                    <w:t>3</w:t>
                  </w:r>
                  <w:r>
                    <w:rPr>
                      <w:rFonts w:hint="default" w:ascii="Times New Roman" w:hAnsi="Times New Roman" w:cs="Times New Roman"/>
                      <w:spacing w:val="-6"/>
                      <w:sz w:val="21"/>
                      <w:szCs w:val="21"/>
                    </w:rPr>
                    <w:t>类</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4"/>
                  <w:vMerge w:val="restart"/>
                  <w:tcBorders>
                    <w:right w:val="single" w:color="auto" w:sz="2"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固废</w:t>
                  </w:r>
                </w:p>
              </w:tc>
              <w:tc>
                <w:tcPr>
                  <w:tcW w:w="919" w:type="dxa"/>
                  <w:tcMar>
                    <w:left w:w="0" w:type="dxa"/>
                    <w:right w:w="0"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环卫收集处理</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生活垃圾</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583" w:type="dxa"/>
                  <w:gridSpan w:val="2"/>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无渗漏，零排放，不造成二次污染</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4"/>
                  <w:vMerge w:val="continue"/>
                  <w:tcBorders>
                    <w:right w:val="single" w:color="auto" w:sz="2" w:space="0"/>
                  </w:tcBorders>
                  <w:vAlign w:val="center"/>
                </w:tcPr>
                <w:p>
                  <w:pPr>
                    <w:jc w:val="center"/>
                    <w:rPr>
                      <w:rFonts w:hint="default" w:ascii="Times New Roman" w:hAnsi="Times New Roman" w:cs="Times New Roman"/>
                      <w:sz w:val="21"/>
                      <w:szCs w:val="21"/>
                    </w:rPr>
                  </w:pPr>
                </w:p>
              </w:tc>
              <w:tc>
                <w:tcPr>
                  <w:tcW w:w="919" w:type="dxa"/>
                  <w:tcMar>
                    <w:left w:w="0" w:type="dxa"/>
                    <w:right w:w="0"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外售综合利用</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一般固废</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583" w:type="dxa"/>
                  <w:gridSpan w:val="2"/>
                  <w:vMerge w:val="continue"/>
                  <w:vAlign w:val="center"/>
                </w:tcPr>
                <w:p>
                  <w:pPr>
                    <w:spacing w:line="300" w:lineRule="exact"/>
                    <w:jc w:val="center"/>
                    <w:rPr>
                      <w:rFonts w:hint="default" w:ascii="Times New Roman" w:hAnsi="Times New Roman" w:cs="Times New Roman"/>
                      <w:sz w:val="21"/>
                      <w:szCs w:val="21"/>
                    </w:rPr>
                  </w:pP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4"/>
                  <w:vMerge w:val="continue"/>
                  <w:tcBorders>
                    <w:right w:val="single" w:color="auto" w:sz="2" w:space="0"/>
                  </w:tcBorders>
                  <w:vAlign w:val="center"/>
                </w:tcPr>
                <w:p>
                  <w:pPr>
                    <w:pStyle w:val="46"/>
                    <w:spacing w:line="240" w:lineRule="auto"/>
                    <w:jc w:val="center"/>
                    <w:rPr>
                      <w:rFonts w:hint="default" w:ascii="Times New Roman" w:hAnsi="Times New Roman" w:cs="Times New Roman"/>
                      <w:color w:val="auto"/>
                      <w:sz w:val="21"/>
                      <w:szCs w:val="21"/>
                    </w:rPr>
                  </w:pPr>
                </w:p>
              </w:tc>
              <w:tc>
                <w:tcPr>
                  <w:tcW w:w="919" w:type="dxa"/>
                  <w:tcMar>
                    <w:left w:w="0" w:type="dxa"/>
                    <w:right w:w="0"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委托有资质单位处理</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危险固废</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583" w:type="dxa"/>
                  <w:gridSpan w:val="2"/>
                  <w:vMerge w:val="continue"/>
                  <w:vAlign w:val="center"/>
                </w:tcPr>
                <w:p>
                  <w:pPr>
                    <w:spacing w:line="300" w:lineRule="exact"/>
                    <w:jc w:val="center"/>
                    <w:rPr>
                      <w:rFonts w:hint="default" w:ascii="Times New Roman" w:hAnsi="Times New Roman" w:cs="Times New Roman"/>
                      <w:sz w:val="21"/>
                      <w:szCs w:val="21"/>
                    </w:rPr>
                  </w:pP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bl>
          <w:p>
            <w:pPr>
              <w:spacing w:line="360" w:lineRule="auto"/>
              <w:ind w:firstLine="482" w:firstLineChars="200"/>
              <w:rPr>
                <w:rFonts w:hint="default" w:ascii="Times New Roman" w:hAnsi="Times New Roman" w:cs="Times New Roman"/>
                <w:b/>
                <w:sz w:val="24"/>
                <w:szCs w:val="24"/>
              </w:rPr>
            </w:pPr>
            <w:r>
              <w:rPr>
                <w:rFonts w:hint="eastAsia" w:ascii="Times New Roman" w:hAnsi="Times New Roman" w:cs="Times New Roman"/>
                <w:b/>
                <w:sz w:val="24"/>
                <w:szCs w:val="24"/>
                <w:lang w:val="en-US" w:eastAsia="zh-CN"/>
              </w:rPr>
              <w:t>10</w:t>
            </w:r>
            <w:r>
              <w:rPr>
                <w:rFonts w:hint="default" w:ascii="Times New Roman" w:hAnsi="Times New Roman" w:cs="Times New Roman"/>
                <w:b/>
                <w:sz w:val="24"/>
                <w:szCs w:val="24"/>
              </w:rPr>
              <w:t>、社会公开信息</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建成后，应按地方环保局的要求加强对企业的环境管理，建立健全企业的环保监督、管理制度。企业应成立以总经理为组长的环保领导小组，并设专职环保管理及技术人员，负责全厂的环保日常管理工作，监督、处理各种污染物的排放，组织和制定对各种污染物的防治措施与管理制度，保证各种污染物达标排放。</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根据《排污单位自行监测技术指南 总则》（HJ819-2017）的要求，企业可根据自身条件和能力，利用自有人员、场所和设备进行自行监测，可也委托其他有资质的监测机构代开展自行监测，包括污染物排放监测（废气污染物、废水污染物和噪声污染等）、周边环境质量影响监测（周边的空气、地下水、地表水、土壤等）、关键工艺参数监测（通过对与污染物产生和排放密切相关的关键工艺参数进行测试）、污染治理设施处理效果监测。企业应建立自行监测质量管理制度，按照相关技术规范要求做好监测质量保证与质量控制，做好与监测相关的数据记录，按照规定进行保存，并依据《企业事业单位环境信息公开办法》（环境保护部令 第31号）等规定向社会公开监测结果。</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根据《企业事业单位环境信息公开办法》（环境保护部令 第31号）规定，企业可参照重点排污单位公开其信息：</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（一）基础信息，包括单位名称、组织机构代码、法定代表人、生产地址、联系方式，以及生产经营和管理服务的主要内容、产品及规模；</w:t>
            </w:r>
          </w:p>
          <w:p>
            <w:pPr>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（二）排污信息，包括主要污染物及特征污染物的名称、排放方式、排放口数量和分布情况、排放浓度和总量、超标情况，以及执行的污染物排放标准、核定的排放总量；</w:t>
            </w:r>
          </w:p>
          <w:p>
            <w:pPr>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（三）防治污染设施的建设和运行情况；</w:t>
            </w:r>
          </w:p>
          <w:p>
            <w:pPr>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（四）建设项目环境影响评价及其他环境保护行政许可情况；</w:t>
            </w:r>
          </w:p>
          <w:p>
            <w:pPr>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（五）突发环境事件应急预案；</w:t>
            </w:r>
          </w:p>
          <w:p>
            <w:pPr>
              <w:pStyle w:val="4"/>
              <w:spacing w:line="500" w:lineRule="exact"/>
              <w:ind w:firstLine="480" w:firstLineChars="200"/>
              <w:rPr>
                <w:rFonts w:hint="default" w:ascii="Times New Roman" w:hAnsi="Times New Roman" w:cs="Times New Roman"/>
                <w:b w:val="0"/>
                <w:sz w:val="24"/>
                <w:szCs w:val="24"/>
              </w:rPr>
            </w:pPr>
            <w:r>
              <w:rPr>
                <w:rFonts w:hint="default" w:ascii="Times New Roman" w:hAnsi="Times New Roman" w:cs="Times New Roman"/>
                <w:b w:val="0"/>
                <w:sz w:val="24"/>
                <w:szCs w:val="24"/>
              </w:rPr>
              <w:t>（六）其他应当公开的环境信息。</w:t>
            </w:r>
          </w:p>
        </w:tc>
      </w:tr>
    </w:tbl>
    <w:p>
      <w:pPr>
        <w:rPr>
          <w:rFonts w:hint="default" w:ascii="Times New Roman" w:hAnsi="Times New Roman" w:eastAsia="宋体" w:cs="Times New Roman"/>
          <w:b/>
          <w:color w:val="auto"/>
          <w:sz w:val="24"/>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建设项目拟采取的防治措施及预期治理效果</w:t>
      </w:r>
    </w:p>
    <w:tbl>
      <w:tblPr>
        <w:tblStyle w:val="14"/>
        <w:tblW w:w="8774"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78"/>
        <w:gridCol w:w="620"/>
        <w:gridCol w:w="621"/>
        <w:gridCol w:w="1701"/>
        <w:gridCol w:w="1417"/>
        <w:gridCol w:w="34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tcBorders>
              <w:top w:val="single" w:color="000000" w:sz="12" w:space="0"/>
              <w:left w:val="single" w:color="000000" w:sz="12" w:space="0"/>
              <w:bottom w:val="single" w:color="000000" w:sz="12" w:space="0"/>
              <w:right w:val="single" w:color="000000" w:sz="12" w:space="0"/>
            </w:tcBorders>
            <w:shd w:val="clear" w:color="auto" w:fill="auto"/>
          </w:tcPr>
          <w:p>
            <w:pPr>
              <w:spacing w:line="24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内容</w:t>
            </w:r>
          </w:p>
          <w:p>
            <w:pPr>
              <w:spacing w:line="24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类型</w:t>
            </w:r>
          </w:p>
        </w:tc>
        <w:tc>
          <w:tcPr>
            <w:tcW w:w="1241" w:type="dxa"/>
            <w:gridSpan w:val="2"/>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排放源</w:t>
            </w:r>
          </w:p>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（编号）</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污染物</w:t>
            </w:r>
          </w:p>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名称</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防治措施</w:t>
            </w:r>
          </w:p>
        </w:tc>
        <w:tc>
          <w:tcPr>
            <w:tcW w:w="343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预期治理</w:t>
            </w:r>
          </w:p>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效果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水</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污</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染</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物</w:t>
            </w:r>
          </w:p>
        </w:tc>
        <w:tc>
          <w:tcPr>
            <w:tcW w:w="1241" w:type="dxa"/>
            <w:gridSpan w:val="2"/>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生活污水</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1"/>
                <w:szCs w:val="21"/>
                <w:vertAlign w:val="subscript"/>
              </w:rPr>
            </w:pPr>
            <w:r>
              <w:rPr>
                <w:rFonts w:hint="default" w:ascii="Times New Roman" w:hAnsi="Times New Roman" w:eastAsia="宋体" w:cs="Times New Roman"/>
                <w:color w:val="auto"/>
                <w:sz w:val="21"/>
                <w:szCs w:val="21"/>
                <w:lang w:bidi="ar"/>
              </w:rPr>
              <w:t>pH、COD、SS</w:t>
            </w:r>
          </w:p>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NH</w:t>
            </w:r>
            <w:r>
              <w:rPr>
                <w:rFonts w:hint="default" w:ascii="Times New Roman" w:hAnsi="Times New Roman" w:eastAsia="宋体" w:cs="Times New Roman"/>
                <w:color w:val="auto"/>
                <w:sz w:val="21"/>
                <w:szCs w:val="21"/>
                <w:vertAlign w:val="subscript"/>
                <w:lang w:bidi="ar"/>
              </w:rPr>
              <w:t>3</w:t>
            </w:r>
            <w:r>
              <w:rPr>
                <w:rFonts w:hint="default" w:ascii="Times New Roman" w:hAnsi="Times New Roman" w:eastAsia="宋体" w:cs="Times New Roman"/>
                <w:color w:val="auto"/>
                <w:sz w:val="21"/>
                <w:szCs w:val="21"/>
                <w:lang w:bidi="ar"/>
              </w:rPr>
              <w:t>-N、TP、</w:t>
            </w:r>
            <w:r>
              <w:rPr>
                <w:rFonts w:hint="default" w:ascii="Times New Roman" w:hAnsi="Times New Roman" w:eastAsia="宋体" w:cs="Times New Roman"/>
                <w:color w:val="auto"/>
                <w:sz w:val="21"/>
                <w:szCs w:val="21"/>
                <w:lang w:val="en-US" w:eastAsia="zh-CN" w:bidi="ar"/>
              </w:rPr>
              <w:t>TN</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w:t>
            </w:r>
          </w:p>
        </w:tc>
        <w:tc>
          <w:tcPr>
            <w:tcW w:w="343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本项目无生产废水产生及排放；生活污水排放量，经化粪池处理后进入市政管网，最终进武进城区污水处理厂集中处理，尾水排入采菱港。，不直接排入地表水体，不对附近地表水造成直接影响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tcBorders>
              <w:top w:val="single" w:color="auto" w:sz="4" w:space="0"/>
              <w:left w:val="single" w:color="000000" w:sz="12" w:space="0"/>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大气污染物</w:t>
            </w:r>
          </w:p>
        </w:tc>
        <w:tc>
          <w:tcPr>
            <w:tcW w:w="620"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无组织</w:t>
            </w:r>
          </w:p>
        </w:tc>
        <w:tc>
          <w:tcPr>
            <w:tcW w:w="62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生产车间</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锡及其化合物、</w:t>
            </w:r>
            <w:r>
              <w:rPr>
                <w:rFonts w:hint="eastAsia" w:ascii="Times New Roman" w:hAnsi="Times New Roman" w:eastAsia="宋体" w:cs="Times New Roman"/>
                <w:color w:val="auto"/>
                <w:sz w:val="21"/>
                <w:szCs w:val="21"/>
                <w:lang w:val="en-US" w:eastAsia="zh-CN"/>
              </w:rPr>
              <w:t>非甲烷总烃</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注塑废气经移动式活性炭吸附装置处理后在车间内无组织排放</w:t>
            </w:r>
            <w:r>
              <w:rPr>
                <w:rFonts w:hint="eastAsia" w:ascii="Times New Roman" w:hAnsi="Times New Roman" w:eastAsia="宋体" w:cs="Times New Roman"/>
                <w:color w:val="auto"/>
                <w:sz w:val="21"/>
                <w:szCs w:val="21"/>
                <w:lang w:val="en-US" w:eastAsia="zh-CN" w:bidi="ar"/>
              </w:rPr>
              <w:t>；</w:t>
            </w:r>
            <w:r>
              <w:rPr>
                <w:rFonts w:hint="default" w:ascii="Times New Roman" w:hAnsi="Times New Roman" w:eastAsia="宋体" w:cs="Times New Roman"/>
                <w:color w:val="auto"/>
                <w:sz w:val="21"/>
                <w:szCs w:val="21"/>
                <w:lang w:val="en-US" w:eastAsia="zh-CN" w:bidi="ar"/>
              </w:rPr>
              <w:t>焊接烟尘由移动式焊接烟尘净化装置收集、处理后在车间内无组织排放</w:t>
            </w:r>
          </w:p>
        </w:tc>
        <w:tc>
          <w:tcPr>
            <w:tcW w:w="3437" w:type="dxa"/>
            <w:tcBorders>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restart"/>
            <w:tcBorders>
              <w:top w:val="nil"/>
              <w:left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固</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体</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废</w:t>
            </w:r>
          </w:p>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物</w:t>
            </w:r>
          </w:p>
          <w:p>
            <w:pPr>
              <w:spacing w:line="240" w:lineRule="auto"/>
              <w:rPr>
                <w:rFonts w:hint="default" w:ascii="Times New Roman" w:hAnsi="Times New Roman" w:cs="Times New Roman"/>
              </w:rPr>
            </w:pPr>
          </w:p>
          <w:p>
            <w:pPr>
              <w:pStyle w:val="17"/>
              <w:rPr>
                <w:rFonts w:hint="default" w:ascii="Times New Roman" w:hAnsi="Times New Roman" w:cs="Times New Roman"/>
              </w:rPr>
            </w:pPr>
          </w:p>
        </w:tc>
        <w:tc>
          <w:tcPr>
            <w:tcW w:w="1241" w:type="dxa"/>
            <w:gridSpan w:val="2"/>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cs="Times New Roman"/>
              </w:rPr>
            </w:pPr>
            <w:r>
              <w:rPr>
                <w:rFonts w:hint="default" w:ascii="Times New Roman" w:hAnsi="Times New Roman" w:cs="Times New Roman"/>
              </w:rPr>
              <w:t>生活垃圾</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2"/>
                <w:szCs w:val="22"/>
                <w:u w:val="none"/>
                <w:lang w:val="en-US" w:eastAsia="zh-CN" w:bidi="ar"/>
              </w:rPr>
              <w:t>生活垃圾</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环卫收集</w:t>
            </w:r>
          </w:p>
        </w:tc>
        <w:tc>
          <w:tcPr>
            <w:tcW w:w="3437" w:type="dxa"/>
            <w:vMerge w:val="restart"/>
            <w:tcBorders>
              <w:top w:val="nil"/>
              <w:left w:val="nil"/>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零排放，处置率100%，维护良好的内部环境和城市环境卫生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continue"/>
            <w:tcBorders>
              <w:left w:val="single" w:color="000000" w:sz="12" w:space="0"/>
              <w:right w:val="single" w:color="000000" w:sz="12" w:space="0"/>
            </w:tcBorders>
            <w:shd w:val="clear" w:color="auto" w:fill="auto"/>
            <w:vAlign w:val="center"/>
          </w:tcPr>
          <w:p>
            <w:pPr>
              <w:spacing w:line="240" w:lineRule="auto"/>
              <w:rPr>
                <w:rFonts w:hint="default" w:ascii="Times New Roman" w:hAnsi="Times New Roman" w:cs="Times New Roman"/>
                <w:color w:val="auto"/>
                <w:sz w:val="21"/>
                <w:szCs w:val="21"/>
              </w:rPr>
            </w:pPr>
          </w:p>
        </w:tc>
        <w:tc>
          <w:tcPr>
            <w:tcW w:w="1241" w:type="dxa"/>
            <w:gridSpan w:val="2"/>
            <w:vMerge w:val="restart"/>
            <w:tcBorders>
              <w:top w:val="nil"/>
              <w:left w:val="nil"/>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bidi="ar"/>
              </w:rPr>
              <w:t>一般工业固废</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rPr>
                <w:rFonts w:hint="default" w:ascii="Times New Roman" w:hAnsi="Times New Roman" w:cs="Times New Roman"/>
                <w:color w:val="auto"/>
                <w:kern w:val="0"/>
                <w:sz w:val="21"/>
                <w:szCs w:val="21"/>
              </w:rPr>
            </w:pPr>
            <w:r>
              <w:rPr>
                <w:rFonts w:hint="default" w:ascii="Times New Roman" w:hAnsi="Times New Roman" w:eastAsia="宋体" w:cs="Times New Roman"/>
                <w:color w:val="auto"/>
                <w:lang w:val="en-US" w:eastAsia="zh-CN"/>
              </w:rPr>
              <w:t>边角料和不合格产品</w:t>
            </w:r>
          </w:p>
        </w:tc>
        <w:tc>
          <w:tcPr>
            <w:tcW w:w="1417" w:type="dxa"/>
            <w:vMerge w:val="restart"/>
            <w:tcBorders>
              <w:top w:val="single" w:color="000000" w:sz="12" w:space="0"/>
              <w:left w:val="nil"/>
              <w:right w:val="single" w:color="000000" w:sz="12" w:space="0"/>
            </w:tcBorders>
            <w:shd w:val="clear" w:color="auto" w:fill="auto"/>
            <w:vAlign w:val="center"/>
          </w:tcPr>
          <w:p>
            <w:pPr>
              <w:widowControl/>
              <w:spacing w:line="240" w:lineRule="auto"/>
              <w:jc w:val="center"/>
              <w:textAlignment w:val="center"/>
              <w:rPr>
                <w:rFonts w:hint="default" w:ascii="Times New Roman" w:hAnsi="Times New Roman" w:cs="Times New Roman"/>
              </w:rPr>
            </w:pPr>
            <w:r>
              <w:rPr>
                <w:rFonts w:hint="default" w:ascii="Times New Roman" w:hAnsi="Times New Roman" w:eastAsia="宋体" w:cs="Times New Roman"/>
                <w:color w:val="auto"/>
                <w:kern w:val="0"/>
                <w:sz w:val="21"/>
                <w:szCs w:val="21"/>
                <w:lang w:bidi="ar"/>
              </w:rPr>
              <w:t>委外综合利用</w:t>
            </w:r>
          </w:p>
        </w:tc>
        <w:tc>
          <w:tcPr>
            <w:tcW w:w="3437" w:type="dxa"/>
            <w:vMerge w:val="continue"/>
            <w:tcBorders>
              <w:left w:val="nil"/>
              <w:right w:val="single" w:color="000000" w:sz="12" w:space="0"/>
            </w:tcBorders>
            <w:shd w:val="clear" w:color="auto" w:fill="auto"/>
            <w:vAlign w:val="center"/>
          </w:tcPr>
          <w:p>
            <w:pPr>
              <w:spacing w:line="240" w:lineRule="auto"/>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continue"/>
            <w:tcBorders>
              <w:left w:val="single" w:color="000000" w:sz="12" w:space="0"/>
              <w:right w:val="single" w:color="000000" w:sz="12" w:space="0"/>
            </w:tcBorders>
            <w:shd w:val="clear" w:color="auto" w:fill="auto"/>
            <w:vAlign w:val="center"/>
          </w:tcPr>
          <w:p>
            <w:pPr>
              <w:spacing w:line="240" w:lineRule="auto"/>
              <w:rPr>
                <w:rFonts w:hint="default" w:ascii="Times New Roman" w:hAnsi="Times New Roman" w:cs="Times New Roman"/>
                <w:color w:val="auto"/>
                <w:sz w:val="21"/>
                <w:szCs w:val="21"/>
              </w:rPr>
            </w:pPr>
          </w:p>
        </w:tc>
        <w:tc>
          <w:tcPr>
            <w:tcW w:w="1241" w:type="dxa"/>
            <w:gridSpan w:val="2"/>
            <w:vMerge w:val="continue"/>
            <w:tcBorders>
              <w:left w:val="nil"/>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kern w:val="0"/>
                <w:sz w:val="21"/>
                <w:szCs w:val="21"/>
                <w:lang w:bidi="ar"/>
              </w:rPr>
            </w:pP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废包装材料</w:t>
            </w:r>
          </w:p>
        </w:tc>
        <w:tc>
          <w:tcPr>
            <w:tcW w:w="1417" w:type="dxa"/>
            <w:vMerge w:val="continue"/>
            <w:tcBorders>
              <w:left w:val="nil"/>
              <w:right w:val="single" w:color="000000" w:sz="12"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21"/>
                <w:szCs w:val="21"/>
                <w:lang w:bidi="ar"/>
              </w:rPr>
            </w:pPr>
          </w:p>
        </w:tc>
        <w:tc>
          <w:tcPr>
            <w:tcW w:w="3437" w:type="dxa"/>
            <w:vMerge w:val="continue"/>
            <w:tcBorders>
              <w:left w:val="nil"/>
              <w:right w:val="single" w:color="000000" w:sz="12" w:space="0"/>
            </w:tcBorders>
            <w:shd w:val="clear" w:color="auto" w:fill="auto"/>
            <w:vAlign w:val="center"/>
          </w:tcPr>
          <w:p>
            <w:pPr>
              <w:spacing w:line="240" w:lineRule="auto"/>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continue"/>
            <w:tcBorders>
              <w:left w:val="single" w:color="000000" w:sz="12" w:space="0"/>
              <w:right w:val="single" w:color="000000" w:sz="12" w:space="0"/>
            </w:tcBorders>
            <w:shd w:val="clear" w:color="auto" w:fill="auto"/>
            <w:vAlign w:val="center"/>
          </w:tcPr>
          <w:p>
            <w:pPr>
              <w:pStyle w:val="17"/>
              <w:rPr>
                <w:rFonts w:hint="default" w:ascii="Times New Roman" w:hAnsi="Times New Roman" w:cs="Times New Roman"/>
              </w:rPr>
            </w:pPr>
          </w:p>
        </w:tc>
        <w:tc>
          <w:tcPr>
            <w:tcW w:w="1241" w:type="dxa"/>
            <w:gridSpan w:val="2"/>
            <w:vMerge w:val="restart"/>
            <w:tcBorders>
              <w:top w:val="single" w:color="000000" w:sz="12" w:space="0"/>
              <w:left w:val="nil"/>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bidi="ar"/>
              </w:rPr>
              <w:t>危险废物</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废活性炭</w:t>
            </w:r>
          </w:p>
        </w:tc>
        <w:tc>
          <w:tcPr>
            <w:tcW w:w="1417" w:type="dxa"/>
            <w:vMerge w:val="restart"/>
            <w:tcBorders>
              <w:top w:val="single" w:color="000000" w:sz="12" w:space="0"/>
              <w:left w:val="nil"/>
              <w:right w:val="single" w:color="000000" w:sz="12"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有资质单位处置</w:t>
            </w:r>
          </w:p>
        </w:tc>
        <w:tc>
          <w:tcPr>
            <w:tcW w:w="3437" w:type="dxa"/>
            <w:vMerge w:val="continue"/>
            <w:tcBorders>
              <w:left w:val="nil"/>
              <w:right w:val="single" w:color="000000" w:sz="12" w:space="0"/>
            </w:tcBorders>
            <w:shd w:val="clear" w:color="auto" w:fill="auto"/>
            <w:vAlign w:val="center"/>
          </w:tcPr>
          <w:p>
            <w:pPr>
              <w:spacing w:line="240" w:lineRule="auto"/>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continue"/>
            <w:tcBorders>
              <w:left w:val="single" w:color="000000" w:sz="12" w:space="0"/>
              <w:right w:val="single" w:color="000000" w:sz="12" w:space="0"/>
            </w:tcBorders>
            <w:shd w:val="clear" w:color="auto" w:fill="auto"/>
            <w:vAlign w:val="center"/>
          </w:tcPr>
          <w:p>
            <w:pPr>
              <w:spacing w:line="240" w:lineRule="auto"/>
              <w:rPr>
                <w:rFonts w:hint="default" w:ascii="Times New Roman" w:hAnsi="Times New Roman" w:cs="Times New Roman"/>
                <w:color w:val="auto"/>
                <w:sz w:val="21"/>
                <w:szCs w:val="21"/>
              </w:rPr>
            </w:pPr>
          </w:p>
        </w:tc>
        <w:tc>
          <w:tcPr>
            <w:tcW w:w="1241" w:type="dxa"/>
            <w:gridSpan w:val="2"/>
            <w:vMerge w:val="continue"/>
            <w:tcBorders>
              <w:left w:val="nil"/>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kern w:val="0"/>
                <w:sz w:val="21"/>
                <w:szCs w:val="21"/>
                <w:lang w:bidi="ar"/>
              </w:rPr>
            </w:pP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废滤网</w:t>
            </w:r>
          </w:p>
        </w:tc>
        <w:tc>
          <w:tcPr>
            <w:tcW w:w="1417" w:type="dxa"/>
            <w:vMerge w:val="continue"/>
            <w:tcBorders>
              <w:left w:val="nil"/>
              <w:right w:val="single" w:color="000000" w:sz="12"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21"/>
                <w:szCs w:val="21"/>
                <w:lang w:bidi="ar"/>
              </w:rPr>
            </w:pPr>
          </w:p>
        </w:tc>
        <w:tc>
          <w:tcPr>
            <w:tcW w:w="3437" w:type="dxa"/>
            <w:vMerge w:val="continue"/>
            <w:tcBorders>
              <w:left w:val="nil"/>
              <w:right w:val="single" w:color="000000" w:sz="12" w:space="0"/>
            </w:tcBorders>
            <w:shd w:val="clear" w:color="auto" w:fill="auto"/>
            <w:vAlign w:val="center"/>
          </w:tcPr>
          <w:p>
            <w:pPr>
              <w:spacing w:line="240" w:lineRule="auto"/>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23" w:hRule="atLeast"/>
          <w:jc w:val="center"/>
        </w:trPr>
        <w:tc>
          <w:tcPr>
            <w:tcW w:w="97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噪</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声</w:t>
            </w:r>
          </w:p>
        </w:tc>
        <w:tc>
          <w:tcPr>
            <w:tcW w:w="7796" w:type="dxa"/>
            <w:gridSpan w:val="5"/>
            <w:tcBorders>
              <w:top w:val="single" w:color="000000" w:sz="12" w:space="0"/>
              <w:left w:val="nil"/>
              <w:bottom w:val="single" w:color="000000" w:sz="12" w:space="0"/>
              <w:right w:val="single" w:color="000000" w:sz="12" w:space="0"/>
            </w:tcBorders>
            <w:shd w:val="clear" w:color="auto" w:fill="auto"/>
            <w:vAlign w:val="center"/>
          </w:tcPr>
          <w:p>
            <w:pPr>
              <w:pStyle w:val="29"/>
              <w:widowControl/>
              <w:spacing w:line="240" w:lineRule="auto"/>
              <w:ind w:firstLine="0" w:firstLineChar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本项目在生产过程中主要噪声源为剥线机、注塑机、压接机等设备，通过噪声源经墙体隔声和距离衰减后，项目各厂界昼间噪声能达到《工业企业厂界环境噪声排放标准》（GB12348-2008）中3类标准。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340" w:hRule="atLeast"/>
          <w:jc w:val="center"/>
        </w:trPr>
        <w:tc>
          <w:tcPr>
            <w:tcW w:w="8774" w:type="dxa"/>
            <w:gridSpan w:val="6"/>
            <w:tcBorders>
              <w:top w:val="single" w:color="000000" w:sz="12" w:space="0"/>
              <w:left w:val="single" w:color="000000" w:sz="12" w:space="0"/>
              <w:bottom w:val="single" w:color="000000" w:sz="12" w:space="0"/>
              <w:right w:val="single" w:color="000000" w:sz="12" w:space="0"/>
            </w:tcBorders>
            <w:shd w:val="clear" w:color="auto" w:fill="auto"/>
          </w:tcPr>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生态保护措施及预期效果：</w:t>
            </w:r>
          </w:p>
          <w:p>
            <w:pPr>
              <w:spacing w:line="360" w:lineRule="auto"/>
              <w:rPr>
                <w:rFonts w:hint="default" w:ascii="Times New Roman" w:hAnsi="Times New Roman" w:eastAsia="宋体" w:cs="Times New Roman"/>
                <w:b/>
                <w:color w:val="auto"/>
                <w:sz w:val="24"/>
              </w:rPr>
            </w:pPr>
          </w:p>
          <w:p>
            <w:pPr>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w:t>
            </w:r>
          </w:p>
          <w:p>
            <w:pPr>
              <w:spacing w:line="360" w:lineRule="auto"/>
              <w:rPr>
                <w:rFonts w:hint="default" w:ascii="Times New Roman" w:hAnsi="Times New Roman" w:eastAsia="宋体" w:cs="Times New Roman"/>
                <w:color w:val="auto"/>
                <w:sz w:val="24"/>
              </w:rPr>
            </w:pPr>
          </w:p>
        </w:tc>
      </w:tr>
    </w:tbl>
    <w:p>
      <w:pPr>
        <w:rPr>
          <w:rFonts w:hint="default"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环保措施“三同时”验收情况</w:t>
      </w:r>
    </w:p>
    <w:tbl>
      <w:tblPr>
        <w:tblStyle w:val="15"/>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12" w:space="0"/>
              <w:right w:val="single" w:color="auto" w:sz="12" w:space="0"/>
            </w:tcBorders>
            <w:shd w:val="clear" w:color="auto" w:fill="auto"/>
          </w:tcPr>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根据《中华人民共和国环境保护法》规定，建设项目的污染治理设施必须与主体工程“同时设计、同时施工、同时投入运行”，而污染防治设施建设“三同时”验收是严格控制新污染源和污染物排放总量、遏制环境恶化趋势的有力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本项目总投资</w:t>
            </w:r>
            <w:r>
              <w:rPr>
                <w:rFonts w:hint="eastAsia" w:ascii="Times New Roman" w:hAnsi="Times New Roman" w:eastAsia="宋体" w:cs="Times New Roman"/>
                <w:color w:val="auto"/>
                <w:sz w:val="24"/>
                <w:lang w:val="en-US" w:eastAsia="zh-CN" w:bidi="ar"/>
              </w:rPr>
              <w:t>100</w:t>
            </w:r>
            <w:r>
              <w:rPr>
                <w:rFonts w:hint="default" w:ascii="Times New Roman" w:hAnsi="Times New Roman" w:eastAsia="宋体" w:cs="Times New Roman"/>
                <w:color w:val="auto"/>
                <w:sz w:val="24"/>
                <w:lang w:bidi="ar"/>
              </w:rPr>
              <w:t>万元，其中环保投资为</w:t>
            </w:r>
            <w:r>
              <w:rPr>
                <w:rFonts w:hint="eastAsia" w:ascii="Times New Roman" w:hAnsi="Times New Roman" w:eastAsia="宋体" w:cs="Times New Roman"/>
                <w:color w:val="auto"/>
                <w:sz w:val="24"/>
                <w:lang w:val="en-US" w:eastAsia="zh-CN" w:bidi="ar"/>
              </w:rPr>
              <w:t>15</w:t>
            </w:r>
            <w:r>
              <w:rPr>
                <w:rFonts w:hint="default" w:ascii="Times New Roman" w:hAnsi="Times New Roman" w:eastAsia="宋体" w:cs="Times New Roman"/>
                <w:color w:val="auto"/>
                <w:sz w:val="24"/>
                <w:lang w:bidi="ar"/>
              </w:rPr>
              <w:t>万元，占总投资额的</w:t>
            </w:r>
            <w:r>
              <w:rPr>
                <w:rFonts w:hint="eastAsia" w:ascii="Times New Roman" w:hAnsi="Times New Roman" w:eastAsia="宋体" w:cs="Times New Roman"/>
                <w:color w:val="auto"/>
                <w:sz w:val="24"/>
                <w:lang w:val="en-US" w:eastAsia="zh-CN" w:bidi="ar"/>
              </w:rPr>
              <w:t>15</w:t>
            </w:r>
            <w:r>
              <w:rPr>
                <w:rFonts w:hint="default" w:ascii="Times New Roman" w:hAnsi="Times New Roman" w:eastAsia="宋体" w:cs="Times New Roman"/>
                <w:color w:val="auto"/>
                <w:sz w:val="24"/>
                <w:lang w:bidi="ar"/>
              </w:rPr>
              <w:t>％，建设项目竣工环境保护验收一览见表9-1。</w:t>
            </w:r>
          </w:p>
          <w:p>
            <w:pPr>
              <w:pStyle w:val="26"/>
              <w:widowControl/>
              <w:rPr>
                <w:rFonts w:hint="default" w:ascii="Times New Roman" w:hAnsi="Times New Roman" w:cs="Times New Roman"/>
                <w:color w:val="auto"/>
              </w:rPr>
            </w:pPr>
            <w:r>
              <w:rPr>
                <w:rFonts w:hint="default" w:ascii="Times New Roman" w:hAnsi="Times New Roman" w:cs="Times New Roman"/>
                <w:color w:val="auto"/>
              </w:rPr>
              <w:t>表9-1建设项目环保“三同时”检查一览表</w:t>
            </w:r>
          </w:p>
          <w:tbl>
            <w:tblPr>
              <w:tblStyle w:val="15"/>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852"/>
              <w:gridCol w:w="853"/>
              <w:gridCol w:w="1421"/>
              <w:gridCol w:w="2274"/>
              <w:gridCol w:w="1136"/>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类别</w:t>
                  </w:r>
                </w:p>
              </w:tc>
              <w:tc>
                <w:tcPr>
                  <w:tcW w:w="170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污染源</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污染物</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治理措施</w:t>
                  </w:r>
                </w:p>
              </w:tc>
              <w:tc>
                <w:tcPr>
                  <w:tcW w:w="113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效果</w:t>
                  </w:r>
                </w:p>
              </w:tc>
              <w:tc>
                <w:tcPr>
                  <w:tcW w:w="66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废水</w:t>
                  </w:r>
                </w:p>
              </w:tc>
              <w:tc>
                <w:tcPr>
                  <w:tcW w:w="170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生活污水</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pH、COD、SS、</w:t>
                  </w:r>
                </w:p>
                <w:p>
                  <w:pPr>
                    <w:pStyle w:val="23"/>
                    <w:widowControl/>
                    <w:rPr>
                      <w:rFonts w:hint="default" w:ascii="Times New Roman" w:hAnsi="Times New Roman" w:cs="Times New Roman"/>
                      <w:color w:val="auto"/>
                    </w:rPr>
                  </w:pPr>
                  <w:r>
                    <w:rPr>
                      <w:rFonts w:hint="default" w:ascii="Times New Roman" w:hAnsi="Times New Roman" w:cs="Times New Roman"/>
                      <w:color w:val="auto"/>
                    </w:rPr>
                    <w:t>NH</w:t>
                  </w:r>
                  <w:r>
                    <w:rPr>
                      <w:rFonts w:hint="default" w:ascii="Times New Roman" w:hAnsi="Times New Roman" w:cs="Times New Roman"/>
                      <w:color w:val="auto"/>
                      <w:vertAlign w:val="subscript"/>
                    </w:rPr>
                    <w:t>3</w:t>
                  </w:r>
                  <w:r>
                    <w:rPr>
                      <w:rFonts w:hint="default" w:ascii="Times New Roman" w:hAnsi="Times New Roman" w:cs="Times New Roman"/>
                      <w:color w:val="auto"/>
                    </w:rPr>
                    <w:t>-N、TP、</w:t>
                  </w:r>
                  <w:r>
                    <w:rPr>
                      <w:rFonts w:hint="default" w:ascii="Times New Roman" w:hAnsi="Times New Roman" w:cs="Times New Roman"/>
                      <w:color w:val="auto"/>
                      <w:lang w:val="en-US" w:eastAsia="zh-CN"/>
                    </w:rPr>
                    <w:t>TN</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化粪池</w:t>
                  </w:r>
                </w:p>
              </w:tc>
              <w:tc>
                <w:tcPr>
                  <w:tcW w:w="113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符合接管标准</w:t>
                  </w:r>
                </w:p>
              </w:tc>
              <w:tc>
                <w:tcPr>
                  <w:tcW w:w="667" w:type="dxa"/>
                  <w:vMerge w:val="restart"/>
                  <w:tcBorders>
                    <w:top w:val="nil"/>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与主体工程“同时设计、同时施工、同时投入运行”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废气</w:t>
                  </w:r>
                </w:p>
              </w:tc>
              <w:tc>
                <w:tcPr>
                  <w:tcW w:w="8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Times New Roman" w:hAnsi="Times New Roman" w:eastAsia="宋体" w:cs="Times New Roman"/>
                      <w:color w:val="auto"/>
                      <w:szCs w:val="21"/>
                      <w:lang w:val="en-US" w:eastAsia="zh-CN" w:bidi="ar"/>
                    </w:rPr>
                  </w:pPr>
                  <w:r>
                    <w:rPr>
                      <w:rFonts w:hint="default" w:ascii="Times New Roman" w:hAnsi="Times New Roman" w:eastAsia="宋体" w:cs="Times New Roman"/>
                      <w:color w:val="auto"/>
                      <w:szCs w:val="21"/>
                      <w:lang w:val="en-US" w:eastAsia="zh-CN" w:bidi="ar"/>
                    </w:rPr>
                    <w:t>无组织</w:t>
                  </w:r>
                </w:p>
              </w:tc>
              <w:tc>
                <w:tcPr>
                  <w:tcW w:w="853"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Cs w:val="21"/>
                      <w:lang w:bidi="ar"/>
                    </w:rPr>
                  </w:pPr>
                  <w:r>
                    <w:rPr>
                      <w:rFonts w:hint="default" w:ascii="Times New Roman" w:hAnsi="Times New Roman" w:eastAsia="宋体" w:cs="Times New Roman"/>
                      <w:color w:val="auto"/>
                      <w:sz w:val="21"/>
                      <w:szCs w:val="21"/>
                      <w:lang w:val="en-US" w:eastAsia="zh-CN" w:bidi="ar"/>
                    </w:rPr>
                    <w:t>生产车间</w:t>
                  </w:r>
                </w:p>
              </w:tc>
              <w:tc>
                <w:tcPr>
                  <w:tcW w:w="142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 w:val="21"/>
                      <w:szCs w:val="21"/>
                      <w:lang w:val="en-US" w:eastAsia="zh-CN" w:bidi="ar"/>
                    </w:rPr>
                    <w:t>锡及其化合物、</w:t>
                  </w:r>
                  <w:r>
                    <w:rPr>
                      <w:rFonts w:hint="eastAsia" w:ascii="Times New Roman" w:hAnsi="Times New Roman" w:eastAsia="宋体" w:cs="Times New Roman"/>
                      <w:color w:val="auto"/>
                      <w:sz w:val="21"/>
                      <w:szCs w:val="21"/>
                      <w:lang w:val="en-US" w:eastAsia="zh-CN"/>
                    </w:rPr>
                    <w:t>非甲烷总烃</w:t>
                  </w:r>
                </w:p>
              </w:tc>
              <w:tc>
                <w:tcPr>
                  <w:tcW w:w="227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Cs w:val="21"/>
                      <w:lang w:val="en-US" w:bidi="ar"/>
                    </w:rPr>
                  </w:pPr>
                  <w:r>
                    <w:rPr>
                      <w:rFonts w:hint="default" w:ascii="Times New Roman" w:hAnsi="Times New Roman" w:eastAsia="宋体" w:cs="Times New Roman"/>
                      <w:color w:val="auto"/>
                      <w:sz w:val="21"/>
                      <w:szCs w:val="21"/>
                      <w:lang w:val="en-US" w:eastAsia="zh-CN" w:bidi="ar"/>
                    </w:rPr>
                    <w:t>注塑废气经移动式活性炭吸附装置处理后在车间内无组织排放</w:t>
                  </w:r>
                  <w:r>
                    <w:rPr>
                      <w:rFonts w:hint="eastAsia" w:ascii="Times New Roman" w:hAnsi="Times New Roman" w:eastAsia="宋体" w:cs="Times New Roman"/>
                      <w:color w:val="auto"/>
                      <w:sz w:val="21"/>
                      <w:szCs w:val="21"/>
                      <w:lang w:val="en-US" w:eastAsia="zh-CN" w:bidi="ar"/>
                    </w:rPr>
                    <w:t>；</w:t>
                  </w:r>
                  <w:r>
                    <w:rPr>
                      <w:rFonts w:hint="default" w:ascii="Times New Roman" w:hAnsi="Times New Roman" w:eastAsia="宋体" w:cs="Times New Roman"/>
                      <w:color w:val="auto"/>
                      <w:sz w:val="21"/>
                      <w:szCs w:val="21"/>
                      <w:lang w:val="en-US" w:eastAsia="zh-CN" w:bidi="ar"/>
                    </w:rPr>
                    <w:t>焊接烟尘由移动式焊接烟尘净化装置收集、处理后在车间内无组织排放</w:t>
                  </w:r>
                </w:p>
              </w:tc>
              <w:tc>
                <w:tcPr>
                  <w:tcW w:w="1136" w:type="dxa"/>
                  <w:tcBorders>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噪声</w:t>
                  </w:r>
                </w:p>
              </w:tc>
              <w:tc>
                <w:tcPr>
                  <w:tcW w:w="170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设备噪声</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噪声</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合理布局、隔声、减振措施、距离衰减等</w:t>
                  </w:r>
                </w:p>
              </w:tc>
              <w:tc>
                <w:tcPr>
                  <w:tcW w:w="113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厂界达标</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tcBorders>
                    <w:top w:val="nil"/>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固</w:t>
                  </w:r>
                </w:p>
                <w:p>
                  <w:pPr>
                    <w:pStyle w:val="23"/>
                    <w:widowControl/>
                    <w:rPr>
                      <w:rFonts w:hint="default" w:ascii="Times New Roman" w:hAnsi="Times New Roman" w:cs="Times New Roman"/>
                      <w:color w:val="auto"/>
                    </w:rPr>
                  </w:pPr>
                  <w:r>
                    <w:rPr>
                      <w:rFonts w:hint="default" w:ascii="Times New Roman" w:hAnsi="Times New Roman" w:cs="Times New Roman"/>
                      <w:color w:val="auto"/>
                    </w:rPr>
                    <w:t>体</w:t>
                  </w:r>
                </w:p>
                <w:p>
                  <w:pPr>
                    <w:pStyle w:val="23"/>
                    <w:widowControl/>
                    <w:rPr>
                      <w:rFonts w:hint="default" w:ascii="Times New Roman" w:hAnsi="Times New Roman" w:cs="Times New Roman"/>
                      <w:color w:val="auto"/>
                    </w:rPr>
                  </w:pPr>
                  <w:r>
                    <w:rPr>
                      <w:rFonts w:hint="default" w:ascii="Times New Roman" w:hAnsi="Times New Roman" w:cs="Times New Roman"/>
                      <w:color w:val="auto"/>
                    </w:rPr>
                    <w:t>废</w:t>
                  </w:r>
                </w:p>
                <w:p>
                  <w:pPr>
                    <w:pStyle w:val="23"/>
                    <w:widowControl/>
                    <w:rPr>
                      <w:rFonts w:hint="default" w:ascii="Times New Roman" w:hAnsi="Times New Roman" w:cs="Times New Roman"/>
                      <w:color w:val="auto"/>
                    </w:rPr>
                  </w:pPr>
                  <w:r>
                    <w:rPr>
                      <w:rFonts w:hint="default" w:ascii="Times New Roman" w:hAnsi="Times New Roman" w:cs="Times New Roman"/>
                      <w:color w:val="auto"/>
                    </w:rPr>
                    <w:t>物</w:t>
                  </w:r>
                </w:p>
              </w:tc>
              <w:tc>
                <w:tcPr>
                  <w:tcW w:w="1705"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生活垃圾及含油废手套</w:t>
                  </w: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2"/>
                      <w:szCs w:val="22"/>
                      <w:u w:val="none"/>
                      <w:lang w:val="en-US" w:eastAsia="zh-CN" w:bidi="ar"/>
                    </w:rPr>
                    <w:t>生活垃圾</w:t>
                  </w:r>
                </w:p>
              </w:tc>
              <w:tc>
                <w:tcPr>
                  <w:tcW w:w="227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环卫收集</w:t>
                  </w:r>
                </w:p>
              </w:tc>
              <w:tc>
                <w:tcPr>
                  <w:tcW w:w="1136" w:type="dxa"/>
                  <w:vMerge w:val="restart"/>
                  <w:tcBorders>
                    <w:top w:val="nil"/>
                    <w:left w:val="nil"/>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零排放，处置率100%</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705" w:type="dxa"/>
                  <w:gridSpan w:val="2"/>
                  <w:vMerge w:val="restart"/>
                  <w:tcBorders>
                    <w:top w:val="nil"/>
                    <w:left w:val="nil"/>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一般工业固废</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eastAsia="宋体" w:cs="Times New Roman"/>
                      <w:color w:val="auto"/>
                      <w:lang w:val="en-US" w:eastAsia="zh-CN"/>
                    </w:rPr>
                    <w:t>边角料和不合格产品</w:t>
                  </w:r>
                </w:p>
              </w:tc>
              <w:tc>
                <w:tcPr>
                  <w:tcW w:w="2274" w:type="dxa"/>
                  <w:vMerge w:val="restart"/>
                  <w:tcBorders>
                    <w:top w:val="single" w:color="auto" w:sz="4" w:space="0"/>
                    <w:left w:val="nil"/>
                    <w:right w:val="single" w:color="auto" w:sz="4" w:space="0"/>
                  </w:tcBorders>
                  <w:shd w:val="clear" w:color="auto" w:fill="auto"/>
                  <w:vAlign w:val="center"/>
                </w:tcPr>
                <w:p>
                  <w:pPr>
                    <w:widowControl/>
                    <w:spacing w:line="360" w:lineRule="auto"/>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委外综合利用</w:t>
                  </w:r>
                </w:p>
              </w:tc>
              <w:tc>
                <w:tcPr>
                  <w:tcW w:w="1136" w:type="dxa"/>
                  <w:vMerge w:val="continue"/>
                  <w:tcBorders>
                    <w:left w:val="nil"/>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705" w:type="dxa"/>
                  <w:gridSpan w:val="2"/>
                  <w:vMerge w:val="continue"/>
                  <w:tcBorders>
                    <w:left w:val="nil"/>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kern w:val="0"/>
                      <w:szCs w:val="21"/>
                      <w:lang w:bidi="ar"/>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废包装材料</w:t>
                  </w:r>
                </w:p>
              </w:tc>
              <w:tc>
                <w:tcPr>
                  <w:tcW w:w="2274" w:type="dxa"/>
                  <w:vMerge w:val="continue"/>
                  <w:tcBorders>
                    <w:left w:val="nil"/>
                    <w:right w:val="single" w:color="auto" w:sz="4" w:space="0"/>
                  </w:tcBorders>
                  <w:shd w:val="clear" w:color="auto" w:fill="auto"/>
                  <w:vAlign w:val="center"/>
                </w:tcPr>
                <w:p>
                  <w:pPr>
                    <w:widowControl/>
                    <w:spacing w:line="360" w:lineRule="auto"/>
                    <w:jc w:val="center"/>
                    <w:textAlignment w:val="center"/>
                    <w:rPr>
                      <w:rFonts w:hint="default" w:ascii="Times New Roman" w:hAnsi="Times New Roman" w:eastAsia="宋体" w:cs="Times New Roman"/>
                      <w:color w:val="auto"/>
                      <w:kern w:val="0"/>
                      <w:szCs w:val="21"/>
                      <w:lang w:bidi="ar"/>
                    </w:rPr>
                  </w:pPr>
                </w:p>
              </w:tc>
              <w:tc>
                <w:tcPr>
                  <w:tcW w:w="1136" w:type="dxa"/>
                  <w:vMerge w:val="continue"/>
                  <w:tcBorders>
                    <w:left w:val="nil"/>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705" w:type="dxa"/>
                  <w:gridSpan w:val="2"/>
                  <w:vMerge w:val="restart"/>
                  <w:tcBorders>
                    <w:top w:val="single" w:color="auto" w:sz="4" w:space="0"/>
                    <w:left w:val="nil"/>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危险废物</w:t>
                  </w:r>
                </w:p>
              </w:tc>
              <w:tc>
                <w:tcPr>
                  <w:tcW w:w="1421" w:type="dxa"/>
                  <w:tcBorders>
                    <w:top w:val="single" w:color="auto" w:sz="4" w:space="0"/>
                    <w:left w:val="nil"/>
                    <w:bottom w:val="nil"/>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废活性炭</w:t>
                  </w:r>
                </w:p>
              </w:tc>
              <w:tc>
                <w:tcPr>
                  <w:tcW w:w="2274" w:type="dxa"/>
                  <w:vMerge w:val="restart"/>
                  <w:tcBorders>
                    <w:top w:val="single" w:color="auto" w:sz="4" w:space="0"/>
                    <w:left w:val="nil"/>
                    <w:right w:val="single" w:color="auto" w:sz="4" w:space="0"/>
                  </w:tcBorders>
                  <w:shd w:val="clear" w:color="auto" w:fill="auto"/>
                  <w:vAlign w:val="center"/>
                </w:tcPr>
                <w:p>
                  <w:pPr>
                    <w:widowControl/>
                    <w:spacing w:line="360" w:lineRule="auto"/>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有资质单位处置</w:t>
                  </w:r>
                </w:p>
              </w:tc>
              <w:tc>
                <w:tcPr>
                  <w:tcW w:w="1136" w:type="dxa"/>
                  <w:vMerge w:val="continue"/>
                  <w:tcBorders>
                    <w:left w:val="nil"/>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705" w:type="dxa"/>
                  <w:gridSpan w:val="2"/>
                  <w:vMerge w:val="continue"/>
                  <w:tcBorders>
                    <w:left w:val="nil"/>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kern w:val="0"/>
                      <w:szCs w:val="21"/>
                      <w:lang w:bidi="ar"/>
                    </w:rPr>
                  </w:pPr>
                </w:p>
              </w:tc>
              <w:tc>
                <w:tcPr>
                  <w:tcW w:w="1421" w:type="dxa"/>
                  <w:tcBorders>
                    <w:top w:val="single" w:color="auto" w:sz="4" w:space="0"/>
                    <w:left w:val="nil"/>
                    <w:bottom w:val="nil"/>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lang w:val="en-US" w:eastAsia="zh-CN"/>
                    </w:rPr>
                    <w:t>废滤网</w:t>
                  </w:r>
                </w:p>
              </w:tc>
              <w:tc>
                <w:tcPr>
                  <w:tcW w:w="2274" w:type="dxa"/>
                  <w:vMerge w:val="continue"/>
                  <w:tcBorders>
                    <w:left w:val="nil"/>
                    <w:right w:val="single" w:color="auto" w:sz="4" w:space="0"/>
                  </w:tcBorders>
                  <w:shd w:val="clear" w:color="auto" w:fill="auto"/>
                  <w:vAlign w:val="center"/>
                </w:tcPr>
                <w:p>
                  <w:pPr>
                    <w:widowControl/>
                    <w:spacing w:line="360" w:lineRule="auto"/>
                    <w:jc w:val="center"/>
                    <w:textAlignment w:val="center"/>
                    <w:rPr>
                      <w:rFonts w:hint="default" w:ascii="Times New Roman" w:hAnsi="Times New Roman" w:eastAsia="宋体" w:cs="Times New Roman"/>
                      <w:color w:val="auto"/>
                      <w:kern w:val="0"/>
                      <w:szCs w:val="21"/>
                      <w:lang w:bidi="ar"/>
                    </w:rPr>
                  </w:pPr>
                </w:p>
              </w:tc>
              <w:tc>
                <w:tcPr>
                  <w:tcW w:w="1136" w:type="dxa"/>
                  <w:vMerge w:val="continue"/>
                  <w:tcBorders>
                    <w:left w:val="nil"/>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绿化</w:t>
                  </w:r>
                </w:p>
              </w:tc>
              <w:tc>
                <w:tcPr>
                  <w:tcW w:w="6536" w:type="dxa"/>
                  <w:gridSpan w:val="5"/>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排污口规范化设置</w:t>
                  </w:r>
                </w:p>
              </w:tc>
              <w:tc>
                <w:tcPr>
                  <w:tcW w:w="6536" w:type="dxa"/>
                  <w:gridSpan w:val="5"/>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规范排污口，设置相应的环境保护图形标志</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总量平衡方案</w:t>
                  </w:r>
                </w:p>
              </w:tc>
              <w:tc>
                <w:tcPr>
                  <w:tcW w:w="7203" w:type="dxa"/>
                  <w:gridSpan w:val="6"/>
                  <w:tcBorders>
                    <w:top w:val="single" w:color="auto" w:sz="4" w:space="0"/>
                    <w:left w:val="nil"/>
                    <w:bottom w:val="single" w:color="auto" w:sz="4" w:space="0"/>
                    <w:right w:val="single" w:color="auto" w:sz="4" w:space="0"/>
                  </w:tcBorders>
                  <w:shd w:val="clear" w:color="auto" w:fill="auto"/>
                  <w:vAlign w:val="center"/>
                </w:tcPr>
                <w:p>
                  <w:pPr>
                    <w:spacing w:line="240" w:lineRule="auto"/>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根据江苏省环境保护厅《关于印发江苏省建设项目主要污染物排放总量区域平衡方案审核管理办法的通知》(苏环办[2011]71号)：“自该通知发布日2011年3月17日起，报批环评报告需新增化学需氧量、氨氮指标的排污单位必须按照省排污权有偿使用和交易试点的有关规定办理申购手续”。建设方应按要求到当地环保部门对COD、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-N排污指标进行申购。本项目废水经</w:t>
                  </w:r>
                  <w:r>
                    <w:rPr>
                      <w:rFonts w:hint="eastAsia" w:ascii="Times New Roman" w:hAnsi="Times New Roman" w:eastAsia="宋体" w:cs="Times New Roman"/>
                      <w:color w:val="auto"/>
                      <w:sz w:val="21"/>
                      <w:szCs w:val="21"/>
                      <w:lang w:val="en-US" w:eastAsia="zh-CN"/>
                    </w:rPr>
                    <w:t>武进城区污水处理厂集中处理，尾水排入采菱港</w:t>
                  </w:r>
                  <w:r>
                    <w:rPr>
                      <w:rFonts w:hint="default" w:ascii="Times New Roman" w:hAnsi="Times New Roman" w:eastAsia="宋体" w:cs="Times New Roman"/>
                      <w:color w:val="auto"/>
                      <w:sz w:val="21"/>
                      <w:szCs w:val="21"/>
                    </w:rPr>
                    <w:t>，其最终排放量为：COD 0.</w:t>
                  </w:r>
                  <w:r>
                    <w:rPr>
                      <w:rFonts w:hint="eastAsia" w:ascii="Times New Roman" w:hAnsi="Times New Roman" w:eastAsia="宋体" w:cs="Times New Roman"/>
                      <w:color w:val="auto"/>
                      <w:sz w:val="21"/>
                      <w:szCs w:val="21"/>
                      <w:lang w:val="en-US" w:eastAsia="zh-CN"/>
                    </w:rPr>
                    <w:t>012</w:t>
                  </w:r>
                  <w:r>
                    <w:rPr>
                      <w:rFonts w:hint="default" w:ascii="Times New Roman" w:hAnsi="Times New Roman" w:eastAsia="宋体" w:cs="Times New Roman"/>
                      <w:color w:val="auto"/>
                      <w:sz w:val="21"/>
                      <w:szCs w:val="21"/>
                    </w:rPr>
                    <w:t xml:space="preserve"> t/a、NH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 0.0</w:t>
                  </w:r>
                  <w:r>
                    <w:rPr>
                      <w:rFonts w:hint="eastAsia" w:ascii="Times New Roman" w:hAnsi="Times New Roman" w:eastAsia="宋体" w:cs="Times New Roman"/>
                      <w:color w:val="auto"/>
                      <w:sz w:val="21"/>
                      <w:szCs w:val="21"/>
                      <w:lang w:val="en-US" w:eastAsia="zh-CN"/>
                    </w:rPr>
                    <w:t>012</w:t>
                  </w:r>
                  <w:r>
                    <w:rPr>
                      <w:rFonts w:hint="default" w:ascii="Times New Roman" w:hAnsi="Times New Roman" w:eastAsia="宋体" w:cs="Times New Roman"/>
                      <w:color w:val="auto"/>
                      <w:sz w:val="21"/>
                      <w:szCs w:val="21"/>
                    </w:rPr>
                    <w:t>t/a。</w:t>
                  </w:r>
                </w:p>
                <w:p>
                  <w:pPr>
                    <w:spacing w:line="240" w:lineRule="auto"/>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根据《常州市建设项目主要污染物排放总量指标审核及管理实施细则》（常政办发[2015]104号）：“建设项目主要污染物排放总量指标按工程减排类项目2倍削减量替代或关闭类项目1.5倍削减量替代。”本项目建成后</w:t>
                  </w:r>
                  <w:r>
                    <w:rPr>
                      <w:rFonts w:hint="default" w:ascii="Times New Roman" w:hAnsi="Times New Roman" w:eastAsia="宋体" w:cs="Times New Roman"/>
                      <w:color w:val="auto"/>
                      <w:sz w:val="21"/>
                      <w:szCs w:val="21"/>
                      <w:lang w:val="en-US" w:eastAsia="zh-CN"/>
                    </w:rPr>
                    <w:t>无组织排放的大气污染物：VOCs（含非甲烷总烃） 0.0000</w:t>
                  </w:r>
                  <w:r>
                    <w:rPr>
                      <w:rFonts w:hint="eastAsia"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lang w:val="en-US" w:eastAsia="zh-CN"/>
                    </w:rPr>
                    <w:t>t/a、颗粒物（含锡及其化合物）0.0</w:t>
                  </w:r>
                  <w:r>
                    <w:rPr>
                      <w:rFonts w:hint="eastAsia" w:ascii="Times New Roman" w:hAnsi="Times New Roman" w:eastAsia="宋体" w:cs="Times New Roman"/>
                      <w:color w:val="auto"/>
                      <w:sz w:val="21"/>
                      <w:szCs w:val="21"/>
                      <w:lang w:val="en-US" w:eastAsia="zh-CN"/>
                    </w:rPr>
                    <w:t>0095</w:t>
                  </w:r>
                  <w:r>
                    <w:rPr>
                      <w:rFonts w:hint="default" w:ascii="Times New Roman" w:hAnsi="Times New Roman" w:eastAsia="宋体" w:cs="Times New Roman"/>
                      <w:color w:val="auto"/>
                      <w:sz w:val="21"/>
                      <w:szCs w:val="21"/>
                      <w:lang w:val="en-US" w:eastAsia="zh-CN"/>
                    </w:rPr>
                    <w:t>t/a</w:t>
                  </w:r>
                  <w:r>
                    <w:rPr>
                      <w:rFonts w:hint="default" w:ascii="Times New Roman" w:hAnsi="Times New Roman" w:eastAsia="宋体" w:cs="Times New Roman"/>
                      <w:color w:val="auto"/>
                      <w:sz w:val="21"/>
                      <w:szCs w:val="21"/>
                    </w:rPr>
                    <w:t>需申请总量，</w:t>
                  </w:r>
                  <w:r>
                    <w:rPr>
                      <w:rFonts w:hint="default" w:ascii="Times New Roman" w:hAnsi="Times New Roman" w:eastAsia="宋体" w:cs="Times New Roman"/>
                      <w:color w:val="auto"/>
                      <w:sz w:val="21"/>
                      <w:szCs w:val="21"/>
                      <w:lang w:val="en-US" w:eastAsia="zh-CN"/>
                    </w:rPr>
                    <w:t>需在武进区内实现区域平衡</w:t>
                  </w:r>
                  <w:r>
                    <w:rPr>
                      <w:rFonts w:hint="default" w:ascii="Times New Roman" w:hAnsi="Times New Roman" w:eastAsia="宋体" w:cs="Times New Roman"/>
                      <w:color w:val="auto"/>
                      <w:sz w:val="21"/>
                      <w:szCs w:val="21"/>
                    </w:rPr>
                    <w:t>。</w:t>
                  </w:r>
                </w:p>
                <w:p>
                  <w:pPr>
                    <w:spacing w:line="240" w:lineRule="auto"/>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rPr>
                    <w:t>固废：本项目产生的固废均进行合理处理，实行固体废弃物零排放，不单独申请总量。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区域解决问题</w:t>
                  </w:r>
                </w:p>
              </w:tc>
              <w:tc>
                <w:tcPr>
                  <w:tcW w:w="7203" w:type="dxa"/>
                  <w:gridSpan w:val="6"/>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卫生防护距离</w:t>
                  </w:r>
                </w:p>
              </w:tc>
              <w:tc>
                <w:tcPr>
                  <w:tcW w:w="7203" w:type="dxa"/>
                  <w:gridSpan w:val="6"/>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本项目</w:t>
                  </w:r>
                  <w:r>
                    <w:rPr>
                      <w:rFonts w:hint="default" w:ascii="Times New Roman" w:hAnsi="Times New Roman" w:cs="Times New Roman"/>
                      <w:color w:val="auto"/>
                      <w:lang w:val="en-US" w:eastAsia="zh-CN"/>
                    </w:rPr>
                    <w:t>卫生</w:t>
                  </w:r>
                  <w:r>
                    <w:rPr>
                      <w:rFonts w:hint="default" w:ascii="Times New Roman" w:hAnsi="Times New Roman" w:cs="Times New Roman"/>
                      <w:color w:val="auto"/>
                    </w:rPr>
                    <w:t>防护距离为以生产车间外扩100米形成的包络线，该卫生防护距离包络线范围内无敏感保护目标，以后也不得在卫生防护距离内建设居住区等环境敏感目标，以避免环境纠纷。</w:t>
                  </w:r>
                </w:p>
              </w:tc>
            </w:tr>
          </w:tbl>
          <w:p>
            <w:pPr>
              <w:spacing w:line="360" w:lineRule="auto"/>
              <w:rPr>
                <w:rFonts w:hint="default" w:ascii="Times New Roman" w:hAnsi="Times New Roman" w:eastAsia="宋体" w:cs="Times New Roman"/>
                <w:b/>
                <w:color w:val="auto"/>
                <w:sz w:val="30"/>
                <w:szCs w:val="30"/>
              </w:rPr>
            </w:pPr>
          </w:p>
        </w:tc>
      </w:tr>
    </w:tbl>
    <w:p>
      <w:pPr>
        <w:rPr>
          <w:rFonts w:hint="default"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lang w:bidi="ar"/>
        </w:rPr>
        <w:t>结论和建议</w:t>
      </w:r>
    </w:p>
    <w:tbl>
      <w:tblPr>
        <w:tblStyle w:val="15"/>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12" w:space="0"/>
              <w:right w:val="single" w:color="auto" w:sz="12" w:space="0"/>
            </w:tcBorders>
            <w:shd w:val="clear" w:color="auto" w:fill="auto"/>
          </w:tcPr>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一、结论</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1、项目概况</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常州德而法电子科技有限公司</w:t>
            </w:r>
            <w:r>
              <w:rPr>
                <w:rFonts w:hint="eastAsia" w:ascii="Times New Roman" w:hAnsi="Times New Roman" w:eastAsia="宋体" w:cs="Times New Roman"/>
                <w:color w:val="auto"/>
                <w:sz w:val="24"/>
                <w:lang w:val="en-US" w:eastAsia="zh-CN" w:bidi="ar"/>
              </w:rPr>
              <w:t>成立于2016年7月5日，</w:t>
            </w:r>
            <w:r>
              <w:rPr>
                <w:rFonts w:hint="default" w:ascii="Times New Roman" w:hAnsi="Times New Roman" w:eastAsia="宋体" w:cs="Times New Roman"/>
                <w:color w:val="auto"/>
                <w:sz w:val="24"/>
                <w:lang w:bidi="ar"/>
              </w:rPr>
              <w:t>注册地址为常州西太湖科技产业园兰香路8号，企业经营范围为：电子连接器及线缆，电子元件，输配电及控制设备，通信设备及配件，光伏器件和配件，仪器仪表，汽车零配件，电子设备、机械设备、模具、五金配件的研发、制造、销售；计算机软件研发和销售；金属材料、化工原料及产品（除危险品、不储存）、工艺品、纺织品、建筑材料、日用百货的销售；自营和代理各类商品及技术的进出口业务。</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常州德而法电子科技有限公司投资</w:t>
            </w:r>
            <w:r>
              <w:rPr>
                <w:rFonts w:hint="eastAsia" w:ascii="Times New Roman" w:hAnsi="Times New Roman" w:eastAsia="宋体" w:cs="Times New Roman"/>
                <w:color w:val="auto"/>
                <w:sz w:val="24"/>
                <w:lang w:val="en-US" w:eastAsia="zh-CN" w:bidi="ar"/>
              </w:rPr>
              <w:t>100</w:t>
            </w:r>
            <w:r>
              <w:rPr>
                <w:rFonts w:hint="default" w:ascii="Times New Roman" w:hAnsi="Times New Roman" w:eastAsia="宋体" w:cs="Times New Roman"/>
                <w:color w:val="auto"/>
                <w:sz w:val="24"/>
                <w:lang w:bidi="ar"/>
              </w:rPr>
              <w:t>万元，租用常州市滨湖生态城建设有限公司常州西太湖科技产业园兰香路8号5号标准厂房5楼厂房1000平方米</w:t>
            </w:r>
            <w:r>
              <w:rPr>
                <w:rFonts w:hint="default" w:ascii="Times New Roman" w:hAnsi="Times New Roman" w:eastAsia="宋体" w:cs="Times New Roman"/>
                <w:color w:val="auto"/>
                <w:sz w:val="24"/>
                <w:lang w:val="en-US" w:eastAsia="zh-CN" w:bidi="ar"/>
              </w:rPr>
              <w:t>，</w:t>
            </w:r>
            <w:r>
              <w:rPr>
                <w:rFonts w:hint="default" w:ascii="Times New Roman" w:hAnsi="Times New Roman" w:eastAsia="宋体" w:cs="Times New Roman"/>
                <w:color w:val="auto"/>
                <w:sz w:val="24"/>
                <w:lang w:bidi="ar"/>
              </w:rPr>
              <w:t>对厂房进行装修改造，同时购置断线机、注塑机、压接机等</w:t>
            </w:r>
            <w:r>
              <w:rPr>
                <w:rFonts w:hint="eastAsia" w:ascii="Times New Roman" w:hAnsi="Times New Roman" w:eastAsia="宋体" w:cs="Times New Roman"/>
                <w:color w:val="auto"/>
                <w:sz w:val="24"/>
                <w:lang w:val="en-US" w:eastAsia="zh-CN" w:bidi="ar"/>
              </w:rPr>
              <w:t>主要</w:t>
            </w:r>
            <w:r>
              <w:rPr>
                <w:rFonts w:hint="default" w:ascii="Times New Roman" w:hAnsi="Times New Roman" w:eastAsia="宋体" w:cs="Times New Roman"/>
                <w:color w:val="auto"/>
                <w:sz w:val="24"/>
                <w:lang w:bidi="ar"/>
              </w:rPr>
              <w:t>生产设备</w:t>
            </w:r>
            <w:r>
              <w:rPr>
                <w:rFonts w:hint="eastAsia" w:ascii="Times New Roman" w:hAnsi="Times New Roman" w:eastAsia="宋体" w:cs="Times New Roman"/>
                <w:color w:val="auto"/>
                <w:sz w:val="24"/>
                <w:lang w:val="en-US" w:eastAsia="zh-CN" w:bidi="ar"/>
              </w:rPr>
              <w:t>16</w:t>
            </w:r>
            <w:r>
              <w:rPr>
                <w:rFonts w:hint="default" w:ascii="Times New Roman" w:hAnsi="Times New Roman" w:eastAsia="宋体" w:cs="Times New Roman"/>
                <w:color w:val="auto"/>
                <w:sz w:val="24"/>
                <w:lang w:bidi="ar"/>
              </w:rPr>
              <w:t>台（套），建设年产200万条线束项目。建设单位已于2018年</w:t>
            </w:r>
            <w:r>
              <w:rPr>
                <w:rFonts w:hint="eastAsia" w:ascii="Times New Roman" w:hAnsi="Times New Roman" w:eastAsia="宋体" w:cs="Times New Roman"/>
                <w:color w:val="auto"/>
                <w:sz w:val="24"/>
                <w:lang w:val="en-US" w:eastAsia="zh-CN" w:bidi="ar"/>
              </w:rPr>
              <w:t>10</w:t>
            </w:r>
            <w:r>
              <w:rPr>
                <w:rFonts w:hint="default"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日取得江苏武进经济开发区管委会出具的</w:t>
            </w:r>
            <w:r>
              <w:rPr>
                <w:rFonts w:hint="eastAsia" w:ascii="Times New Roman" w:hAnsi="Times New Roman" w:eastAsia="宋体" w:cs="Times New Roman"/>
                <w:color w:val="auto"/>
                <w:sz w:val="24"/>
                <w:lang w:val="en-US" w:eastAsia="zh-CN" w:bidi="ar"/>
              </w:rPr>
              <w:t>备案证</w:t>
            </w:r>
            <w:r>
              <w:rPr>
                <w:rFonts w:hint="default" w:ascii="Times New Roman" w:hAnsi="Times New Roman" w:eastAsia="宋体" w:cs="Times New Roman"/>
                <w:color w:val="auto"/>
                <w:sz w:val="24"/>
                <w:lang w:bidi="ar"/>
              </w:rPr>
              <w:t>（备案号：武经发管备[2018]118号）。</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定员10</w:t>
            </w:r>
            <w:r>
              <w:rPr>
                <w:rFonts w:hint="default" w:ascii="Times New Roman" w:hAnsi="Times New Roman" w:eastAsia="宋体" w:cs="Times New Roman"/>
                <w:color w:val="auto"/>
                <w:sz w:val="24"/>
                <w:lang w:bidi="ar"/>
              </w:rPr>
              <w:t>人，年工作时间</w:t>
            </w:r>
            <w:r>
              <w:rPr>
                <w:rFonts w:hint="eastAsia" w:ascii="Times New Roman" w:hAnsi="Times New Roman" w:eastAsia="宋体" w:cs="Times New Roman"/>
                <w:color w:val="auto"/>
                <w:sz w:val="24"/>
                <w:lang w:val="en-US" w:eastAsia="zh-CN" w:bidi="ar"/>
              </w:rPr>
              <w:t>30</w:t>
            </w:r>
            <w:r>
              <w:rPr>
                <w:rFonts w:hint="default"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一</w:t>
            </w:r>
            <w:r>
              <w:rPr>
                <w:rFonts w:hint="default" w:ascii="Times New Roman" w:hAnsi="Times New Roman" w:eastAsia="宋体" w:cs="Times New Roman"/>
                <w:color w:val="auto"/>
                <w:sz w:val="24"/>
                <w:lang w:bidi="ar"/>
              </w:rPr>
              <w:t>班制，每班8小时，厂房内不</w:t>
            </w:r>
            <w:r>
              <w:rPr>
                <w:rFonts w:hint="default" w:ascii="Times New Roman" w:hAnsi="Times New Roman" w:eastAsia="宋体" w:cs="Times New Roman"/>
                <w:color w:val="auto"/>
                <w:sz w:val="24"/>
                <w:lang w:val="en-US" w:eastAsia="zh-CN" w:bidi="ar"/>
              </w:rPr>
              <w:t>设</w:t>
            </w:r>
            <w:r>
              <w:rPr>
                <w:rFonts w:hint="default" w:ascii="Times New Roman" w:hAnsi="Times New Roman" w:eastAsia="宋体" w:cs="Times New Roman"/>
                <w:color w:val="auto"/>
                <w:sz w:val="24"/>
                <w:lang w:bidi="ar"/>
              </w:rPr>
              <w:t>食堂、宿舍。</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2、产业政策、相关规划相符性</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（1）本项目不属于《产业结构调整指导目录（2011年本）（2016年修订）》（中华人民共和国国家发展和改革委员会令第36号，2016年3月25日）中的限制和淘汰类项目。</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bidi="ar"/>
              </w:rPr>
              <w:t>（2）</w:t>
            </w:r>
            <w:r>
              <w:rPr>
                <w:rFonts w:hint="default" w:ascii="Times New Roman" w:hAnsi="Times New Roman" w:eastAsia="宋体" w:cs="Times New Roman"/>
                <w:color w:val="auto"/>
                <w:sz w:val="24"/>
                <w:lang w:eastAsia="zh-CN" w:bidi="ar"/>
              </w:rPr>
              <w:t>本项目产品不属于《省政府办公厅关于印发江苏省工业和信息产业结构调整指导目录（2012 年本）的通知》（苏政办发[2013]9 号），与修改《江苏省工业和信息产业结构调整指导目录（2012 年本）》（苏经信产业[2013]183 号）以及《省政府办公厅转发省经济和信息化委省发展改革委江苏省工业和信息产业结构调整限制淘汰目录和能耗限额的通知》（苏政办发[2015]118 号）中限制和淘汰类。</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eastAsia="zh-CN" w:bidi="ar"/>
              </w:rPr>
              <w:t>）本项目不属于市政府办公室关于转发《省政府办公厅转发省经济和信息化委省发展改革委江苏省工业和信息产业结构调整限制淘汰目录和能耗限额的通知》的通知（常政办发[2016]51 号）中的限制类和淘汰类，不涉及相关能耗限值。</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4</w:t>
            </w:r>
            <w:r>
              <w:rPr>
                <w:rFonts w:hint="default" w:ascii="Times New Roman" w:hAnsi="Times New Roman" w:eastAsia="宋体" w:cs="Times New Roman"/>
                <w:color w:val="auto"/>
                <w:sz w:val="24"/>
                <w:lang w:eastAsia="zh-CN" w:bidi="ar"/>
              </w:rPr>
              <w:t>）本项目</w:t>
            </w:r>
            <w:r>
              <w:rPr>
                <w:rFonts w:hint="default" w:ascii="Times New Roman" w:hAnsi="Times New Roman" w:eastAsia="宋体" w:cs="Times New Roman"/>
                <w:color w:val="auto"/>
                <w:sz w:val="24"/>
                <w:lang w:bidi="ar"/>
              </w:rPr>
              <w:t>已于2018年</w:t>
            </w:r>
            <w:r>
              <w:rPr>
                <w:rFonts w:hint="eastAsia" w:ascii="Times New Roman" w:hAnsi="Times New Roman" w:eastAsia="宋体" w:cs="Times New Roman"/>
                <w:color w:val="auto"/>
                <w:sz w:val="24"/>
                <w:lang w:val="en-US" w:eastAsia="zh-CN" w:bidi="ar"/>
              </w:rPr>
              <w:t>10</w:t>
            </w:r>
            <w:r>
              <w:rPr>
                <w:rFonts w:hint="default"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bidi="ar"/>
              </w:rPr>
              <w:t>日取得江苏武进经济开发区管委会出具的</w:t>
            </w:r>
            <w:r>
              <w:rPr>
                <w:rFonts w:hint="eastAsia" w:ascii="Times New Roman" w:hAnsi="Times New Roman" w:eastAsia="宋体" w:cs="Times New Roman"/>
                <w:color w:val="auto"/>
                <w:sz w:val="24"/>
                <w:lang w:val="en-US" w:eastAsia="zh-CN" w:bidi="ar"/>
              </w:rPr>
              <w:t>备案证</w:t>
            </w:r>
            <w:r>
              <w:rPr>
                <w:rFonts w:hint="default" w:ascii="Times New Roman" w:hAnsi="Times New Roman" w:eastAsia="宋体" w:cs="Times New Roman"/>
                <w:color w:val="auto"/>
                <w:sz w:val="24"/>
                <w:lang w:bidi="ar"/>
              </w:rPr>
              <w:t>（备案号：武经发管备[2018]118号）。</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eastAsia="zh-CN" w:bidi="ar"/>
              </w:rPr>
              <w:t>）本项目位于太湖流域三级保护区内，根据《太湖流域管理条例》（中华人民共和国国务院令第 604 号）、《江苏省人民代表大会常务委员会关于修改〈江苏省太湖水污染防治条例〉的决定》（江苏省人大常委会公告第 71 号）的规定和《省政府关于印发江苏省太湖水污染治理工作方案的通知》（苏政发[2007]97 号），太湖流域一、二、三级保护区禁止下列行为：新建、改建、扩建化学制浆造纸、制革、酿造、染料、印染、电镀以及其他排放含磷、氮等污染物的企业和项目，城镇污水集中处理等环境基础设施项目和第四十六条规定的情形除外。本项目无生产废水产生及排放；生活污水经化粪池处理后进入市政管网，最终进武进城区污水处理厂集中处理，尾水排入采菱港，因此本项目符合太湖流域相关文件规定。</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6</w:t>
            </w:r>
            <w:r>
              <w:rPr>
                <w:rFonts w:hint="default" w:ascii="Times New Roman" w:hAnsi="Times New Roman" w:eastAsia="宋体" w:cs="Times New Roman"/>
                <w:color w:val="auto"/>
                <w:sz w:val="24"/>
                <w:lang w:bidi="ar"/>
              </w:rPr>
              <w:t>）与“两减六治三提升”专项行动方案相符性分析</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①治理太湖水环境</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到2020年，太湖湖体高锰酸盐指数和氨氮稳定保持在II类，总磷达到III类，总氮达到V类，流域总氮、总磷污染物排放量均比2015 年削减16%以上，确保饮用水安全、确保不发生大面积湖泛。</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bidi="ar"/>
              </w:rPr>
              <w:t>本项目无生产废水产生及排放；生活污水经化粪池处理后进入市政管网，最终进武进城区污水处理厂集中处理，尾水排入采菱港</w:t>
            </w:r>
            <w:r>
              <w:rPr>
                <w:rFonts w:hint="default" w:ascii="Times New Roman" w:hAnsi="Times New Roman" w:eastAsia="宋体" w:cs="Times New Roman"/>
                <w:color w:val="auto"/>
                <w:sz w:val="24"/>
                <w:lang w:bidi="ar"/>
              </w:rPr>
              <w:t>，与“两减六治三提升”专项行动方案要求相符。</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②治理挥发性有机物污染</w:t>
            </w:r>
          </w:p>
          <w:p>
            <w:pPr>
              <w:numPr>
                <w:ilvl w:val="0"/>
                <w:numId w:val="1"/>
              </w:num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到2020年，全省挥发性有机物（VOCs）排放总量削减20%以上。</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注塑废气经移动式活性炭吸附装置处理后在车间内无组织排放；焊接烟尘由移动式焊接烟尘净化装置收集、处理后在车间内无组织排放，与“两减六治三提升”专项行动方案要求相符。</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与《</w:t>
            </w:r>
            <w:r>
              <w:rPr>
                <w:rFonts w:hint="default"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》(苏政发〔2018〕122号)对照分析</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通知要求：禁止建设生产和使用高VOCs含量的溶剂型涂料、油墨、胶粘剂等项目。以减少苯、甲苯、二甲苯等溶剂和助剂的使用为重点，推进低VOCs含量、低反应活性原辅材料和产品的替代。2020年,全省高活性溶剂和助剂类产品使用减少20%以上。严控“两高”行业产能。严禁新增钢铁、焦化、电解铝、铸造、水泥和平板玻璃等产能。严格执行钢铁、水泥、平板玻璃等行业产能置换实施办法。</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不</w:t>
            </w:r>
            <w:r>
              <w:rPr>
                <w:rFonts w:hint="default" w:ascii="Times New Roman" w:hAnsi="Times New Roman" w:eastAsia="宋体" w:cs="Times New Roman"/>
                <w:color w:val="auto"/>
                <w:sz w:val="24"/>
                <w:lang w:val="en-US" w:eastAsia="zh-CN" w:bidi="ar"/>
              </w:rPr>
              <w:t>使用</w:t>
            </w:r>
            <w:r>
              <w:rPr>
                <w:rFonts w:hint="default" w:ascii="Times New Roman" w:hAnsi="Times New Roman" w:eastAsia="宋体" w:cs="Times New Roman"/>
                <w:color w:val="auto"/>
                <w:sz w:val="24"/>
                <w:lang w:bidi="ar"/>
              </w:rPr>
              <w:t>高VOCs含量的溶剂型涂料、油墨、胶粘剂等，</w:t>
            </w:r>
            <w:r>
              <w:rPr>
                <w:rFonts w:hint="default" w:ascii="Times New Roman" w:hAnsi="Times New Roman" w:eastAsia="宋体" w:cs="Times New Roman"/>
                <w:color w:val="auto"/>
                <w:sz w:val="24"/>
                <w:lang w:val="en-US" w:eastAsia="zh-CN" w:bidi="ar"/>
              </w:rPr>
              <w:t>不属于“两高”行业，</w:t>
            </w:r>
            <w:r>
              <w:rPr>
                <w:rFonts w:hint="default" w:ascii="Times New Roman" w:hAnsi="Times New Roman" w:eastAsia="宋体" w:cs="Times New Roman"/>
                <w:color w:val="auto"/>
                <w:sz w:val="24"/>
                <w:lang w:bidi="ar"/>
              </w:rPr>
              <w:t>符合《</w:t>
            </w:r>
            <w:r>
              <w:rPr>
                <w:rFonts w:hint="default"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》要求。</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8</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val="en-US" w:eastAsia="zh-CN" w:bidi="ar"/>
              </w:rPr>
              <w:t>与《江苏省大气颗粒物污染防治管理办法》2013年8月1号实行对照分析</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val="en-US" w:eastAsia="zh-CN" w:bidi="ar"/>
              </w:rPr>
              <w:t>通知要求：</w:t>
            </w:r>
            <w:r>
              <w:rPr>
                <w:rFonts w:hint="default" w:ascii="Times New Roman" w:hAnsi="Times New Roman" w:eastAsia="宋体" w:cs="Times New Roman"/>
                <w:color w:val="auto"/>
                <w:sz w:val="24"/>
                <w:lang w:bidi="ar"/>
              </w:rPr>
              <w:t>推进产业结构调整</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淘汰落后生产工艺、设备</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提高大气颗粒物污染防治和监督管理水平</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削减工业烟尘、粉尘排放总量。重点控制区严格限制火电、钢铁、水泥等行业的高污染</w:t>
            </w:r>
            <w:r>
              <w:rPr>
                <w:rFonts w:hint="default" w:ascii="Times New Roman" w:hAnsi="Times New Roman" w:eastAsia="宋体" w:cs="Times New Roman"/>
                <w:color w:val="auto"/>
                <w:sz w:val="24"/>
                <w:lang w:eastAsia="zh-CN" w:bidi="ar"/>
              </w:rPr>
              <w:t>。产生烟尘、粉尘的生产和物料运输等环节,应当采取密闭、吸尘、除尘等有效措施,将无组织排放转变为有组织达标排放。</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本项目焊接烟尘由移动式焊接烟尘净化装置收集、处理后在车间内无组织排放，符合《江苏省大气颗粒物污染防治管理办法》要求。</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9</w:t>
            </w:r>
            <w:r>
              <w:rPr>
                <w:rFonts w:hint="default" w:ascii="Times New Roman" w:hAnsi="Times New Roman" w:eastAsia="宋体" w:cs="Times New Roman"/>
                <w:color w:val="auto"/>
                <w:sz w:val="24"/>
                <w:lang w:eastAsia="zh-CN" w:bidi="ar"/>
              </w:rPr>
              <w:t>）</w:t>
            </w:r>
            <w:r>
              <w:rPr>
                <w:rFonts w:hint="default" w:ascii="Times New Roman" w:hAnsi="Times New Roman" w:eastAsia="宋体" w:cs="Times New Roman"/>
                <w:color w:val="auto"/>
                <w:sz w:val="24"/>
                <w:lang w:bidi="ar"/>
              </w:rPr>
              <w:t>与《</w:t>
            </w:r>
            <w:r>
              <w:rPr>
                <w:rFonts w:hint="default" w:ascii="Times New Roman" w:hAnsi="Times New Roman" w:eastAsia="宋体" w:cs="Times New Roman"/>
                <w:color w:val="auto"/>
                <w:sz w:val="24"/>
                <w:lang w:eastAsia="zh-CN" w:bidi="ar"/>
              </w:rPr>
              <w:t>江苏省</w:t>
            </w:r>
            <w:r>
              <w:rPr>
                <w:rFonts w:hint="default" w:ascii="Times New Roman" w:hAnsi="Times New Roman" w:eastAsia="宋体" w:cs="Times New Roman"/>
                <w:color w:val="auto"/>
                <w:sz w:val="24"/>
                <w:lang w:val="en-US" w:eastAsia="zh-CN" w:bidi="ar"/>
              </w:rPr>
              <w:t>大气污染防治条例</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lang w:val="en-US" w:eastAsia="zh-CN" w:bidi="ar"/>
              </w:rPr>
              <w:t xml:space="preserve"> 2018年3月28号公布</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lang w:val="en-US" w:eastAsia="zh-CN" w:bidi="ar"/>
              </w:rPr>
              <w:t>实行</w:t>
            </w:r>
            <w:r>
              <w:rPr>
                <w:rFonts w:hint="default" w:ascii="Times New Roman" w:hAnsi="Times New Roman" w:eastAsia="宋体" w:cs="Times New Roman"/>
                <w:color w:val="auto"/>
                <w:sz w:val="24"/>
                <w:lang w:bidi="ar"/>
              </w:rPr>
              <w:t>对照分析</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要求：产生挥发性有机物废气的生产经营活动，应当在密闭空间或者设备中进行，并设置废气收集和处理系统等污染防治设施；保持其正常使用；造船等无法在密闭空间进行的生产经营活动,应当采取有效措施；减少挥发性有机物排放量。</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本项目注塑废气</w:t>
            </w:r>
            <w:r>
              <w:rPr>
                <w:rFonts w:hint="eastAsia" w:ascii="Times New Roman" w:hAnsi="Times New Roman" w:eastAsia="宋体" w:cs="Times New Roman"/>
                <w:color w:val="auto"/>
                <w:sz w:val="24"/>
                <w:lang w:val="en-US" w:eastAsia="zh-CN" w:bidi="ar"/>
              </w:rPr>
              <w:t>产生量很小，</w:t>
            </w:r>
            <w:r>
              <w:rPr>
                <w:rFonts w:hint="default" w:ascii="Times New Roman" w:hAnsi="Times New Roman" w:eastAsia="宋体" w:cs="Times New Roman"/>
                <w:color w:val="auto"/>
                <w:sz w:val="24"/>
                <w:lang w:val="en-US" w:eastAsia="zh-CN" w:bidi="ar"/>
              </w:rPr>
              <w:t>经移动式活性炭吸附装置处理后在车间内无组织排放，符合</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lang w:eastAsia="zh-CN" w:bidi="ar"/>
              </w:rPr>
              <w:t>江苏省</w:t>
            </w:r>
            <w:r>
              <w:rPr>
                <w:rFonts w:hint="default" w:ascii="Times New Roman" w:hAnsi="Times New Roman" w:eastAsia="宋体" w:cs="Times New Roman"/>
                <w:color w:val="auto"/>
                <w:sz w:val="24"/>
                <w:lang w:val="en-US" w:eastAsia="zh-CN" w:bidi="ar"/>
              </w:rPr>
              <w:t>大气污染防治条例</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lang w:val="en-US" w:eastAsia="zh-CN" w:bidi="ar"/>
              </w:rPr>
              <w:t>要求。</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综上所述，本项目符合国家和地方产业政策。</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3、选址相符性</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eastAsia="zh-CN" w:bidi="ar"/>
              </w:rPr>
              <w:t>常州德而法电子科技有限公司租用常州市滨湖生态城建设有限公司常州西太湖科技产业园兰香路8号5号标准厂房5楼厂房进行生产，园区已取得国有土地证（武国用（2018）第09788号），该地块为工业用地（见附件）。</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eastAsia="zh-CN" w:bidi="ar"/>
              </w:rPr>
              <w:t>本项目不属于《限制用地项目目录（2012年本）》和《禁止用地项目目录（2012年本）》中所规定的类别，不属于《江苏省限制用地项目目录（2013年本）》和《江苏省限制用地项目目录（2013年本）》中所规定的类别的项目。</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eastAsia="zh-CN" w:bidi="ar"/>
              </w:rPr>
              <w:t>本项目最近距《江苏省生态红线区域保护规划》和《江苏省国家级生态保护红线》中常州市生态红线区域保护区——</w:t>
            </w:r>
            <w:r>
              <w:rPr>
                <w:rFonts w:hint="default" w:ascii="Times New Roman" w:hAnsi="Times New Roman" w:eastAsia="宋体" w:cs="Times New Roman"/>
                <w:color w:val="auto"/>
                <w:sz w:val="24"/>
                <w:lang w:val="en-US" w:eastAsia="zh-CN" w:bidi="ar"/>
              </w:rPr>
              <w:t>滆湖（武进区）重要湿地</w:t>
            </w:r>
            <w:r>
              <w:rPr>
                <w:rFonts w:hint="default" w:ascii="Times New Roman" w:hAnsi="Times New Roman" w:eastAsia="宋体" w:cs="Times New Roman"/>
                <w:color w:val="auto"/>
                <w:sz w:val="24"/>
                <w:lang w:eastAsia="zh-CN" w:bidi="ar"/>
              </w:rPr>
              <w:t>二级管控区内约</w:t>
            </w:r>
            <w:r>
              <w:rPr>
                <w:rFonts w:hint="default" w:ascii="Times New Roman" w:hAnsi="Times New Roman" w:eastAsia="宋体" w:cs="Times New Roman"/>
                <w:color w:val="auto"/>
                <w:sz w:val="24"/>
                <w:lang w:val="en-US" w:eastAsia="zh-CN" w:bidi="ar"/>
              </w:rPr>
              <w:t>4k</w:t>
            </w:r>
            <w:r>
              <w:rPr>
                <w:rFonts w:hint="default" w:ascii="Times New Roman" w:hAnsi="Times New Roman" w:eastAsia="宋体" w:cs="Times New Roman"/>
                <w:color w:val="auto"/>
                <w:sz w:val="24"/>
                <w:lang w:eastAsia="zh-CN" w:bidi="ar"/>
              </w:rPr>
              <w:t>m，项目不在</w:t>
            </w:r>
            <w:r>
              <w:rPr>
                <w:rFonts w:hint="default" w:ascii="Times New Roman" w:hAnsi="Times New Roman" w:eastAsia="宋体" w:cs="Times New Roman"/>
                <w:color w:val="auto"/>
                <w:sz w:val="24"/>
                <w:lang w:val="en-US" w:eastAsia="zh-CN" w:bidi="ar"/>
              </w:rPr>
              <w:t>滆湖（武进区）重要湿地</w:t>
            </w:r>
            <w:r>
              <w:rPr>
                <w:rFonts w:hint="default" w:ascii="Times New Roman" w:hAnsi="Times New Roman" w:eastAsia="宋体" w:cs="Times New Roman"/>
                <w:color w:val="auto"/>
                <w:sz w:val="24"/>
                <w:lang w:eastAsia="zh-CN" w:bidi="ar"/>
              </w:rPr>
              <w:t>二级管控区内，且不属于湿地生态系统保护二级管控区禁止活动内容。</w:t>
            </w:r>
          </w:p>
          <w:p>
            <w:pPr>
              <w:spacing w:line="360" w:lineRule="auto"/>
              <w:ind w:firstLine="480" w:firstLineChars="200"/>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eastAsia="zh-CN" w:bidi="ar"/>
              </w:rPr>
              <w:t>因此，该用地性质符合要求。</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4、环境质量状况</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（1）环境空气质量现状</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①</w:t>
            </w:r>
            <w:r>
              <w:rPr>
                <w:rFonts w:hint="default" w:ascii="Times New Roman" w:hAnsi="Times New Roman" w:eastAsia="宋体" w:cs="Times New Roman"/>
                <w:color w:val="auto"/>
                <w:sz w:val="24"/>
                <w:lang w:bidi="ar"/>
              </w:rPr>
              <w:t>区域达标判定</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根据《环境影响评价技术导则 大气环境》（HJ2.2-2018），项目所在区域达标情况判定优先采用国家或地方生态环境主管部门公开发布的环境质量报告或环境质量报告书中的数据或结论。</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本次评价选取2017年作为评价基准年，根据《常州市2017年环境质量公报》，项目所在区域常州市各评价因子数据见表3-1。</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2017年常州市环境空气中二氧化硫年均值和一氧化碳24小时平均值均达到环境空气质量二级标准；二氧化氮、</w:t>
            </w:r>
            <w:r>
              <w:rPr>
                <w:rFonts w:hint="default" w:ascii="Times New Roman" w:hAnsi="Times New Roman" w:eastAsia="仿宋" w:cs="Times New Roman"/>
                <w:color w:val="auto"/>
                <w:sz w:val="24"/>
                <w:lang w:bidi="ar"/>
              </w:rPr>
              <w:t>PM</w:t>
            </w:r>
            <w:r>
              <w:rPr>
                <w:rFonts w:hint="default" w:ascii="Times New Roman" w:hAnsi="Times New Roman" w:eastAsia="仿宋" w:cs="Times New Roman"/>
                <w:color w:val="auto"/>
                <w:sz w:val="24"/>
                <w:vertAlign w:val="subscript"/>
                <w:lang w:bidi="ar"/>
              </w:rPr>
              <w:t>10</w:t>
            </w:r>
            <w:r>
              <w:rPr>
                <w:rFonts w:hint="default" w:ascii="Times New Roman" w:hAnsi="Times New Roman" w:eastAsia="宋体" w:cs="Times New Roman"/>
                <w:color w:val="auto"/>
                <w:sz w:val="24"/>
                <w:lang w:bidi="ar"/>
              </w:rPr>
              <w:t>、</w:t>
            </w:r>
            <w:r>
              <w:rPr>
                <w:rFonts w:hint="default" w:ascii="Times New Roman" w:hAnsi="Times New Roman" w:eastAsia="仿宋" w:cs="Times New Roman"/>
                <w:color w:val="auto"/>
                <w:sz w:val="24"/>
                <w:lang w:bidi="ar"/>
              </w:rPr>
              <w:t>PM</w:t>
            </w:r>
            <w:r>
              <w:rPr>
                <w:rFonts w:hint="default" w:ascii="Times New Roman" w:hAnsi="Times New Roman" w:eastAsia="仿宋" w:cs="Times New Roman"/>
                <w:color w:val="auto"/>
                <w:sz w:val="24"/>
                <w:vertAlign w:val="subscript"/>
                <w:lang w:bidi="ar"/>
              </w:rPr>
              <w:t>2.5</w:t>
            </w:r>
            <w:r>
              <w:rPr>
                <w:rFonts w:hint="default" w:ascii="Times New Roman" w:hAnsi="Times New Roman" w:eastAsia="宋体" w:cs="Times New Roman"/>
                <w:color w:val="auto"/>
                <w:sz w:val="24"/>
                <w:lang w:bidi="ar"/>
              </w:rPr>
              <w:t>年均值和臭氧日最大8小时滑动均值均超过环境空气质量二级标准，常州市2017年环境空气质量不达标，因此判定为非达标区。</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②</w:t>
            </w:r>
            <w:r>
              <w:rPr>
                <w:rFonts w:hint="default" w:ascii="Times New Roman" w:hAnsi="Times New Roman" w:eastAsia="宋体" w:cs="Times New Roman"/>
                <w:color w:val="auto"/>
                <w:sz w:val="24"/>
                <w:lang w:bidi="ar"/>
              </w:rPr>
              <w:t>区域削减</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为切实做好2018年大气污染防治工作，改善全市空气环境质量，中共常州市委、常州市人民政府印发了《常州市2018年大气污染防治攻坚行动方案》，提出的工作内容包括降低燃煤消耗量、对工业企业采取强制减排措施、加强工业烟气污染治理、实施颗粒物无组织排放深度整治、全面排查与达标排放、扎实推进重点行业挥发性有机物（VOCs）治理、提高城市管理水平、加强移动源污染防治、加大产业结构调整力度等。工作目标为6-12月全市主要污染物平均减排比例不低于43%，到2018年底，市区空气质量二级以上优良天数比例达到69.7%以上，PM</w:t>
            </w:r>
            <w:r>
              <w:rPr>
                <w:rFonts w:hint="default" w:ascii="Times New Roman" w:hAnsi="Times New Roman" w:eastAsia="宋体" w:cs="Times New Roman"/>
                <w:color w:val="auto"/>
                <w:sz w:val="24"/>
                <w:vertAlign w:val="subscript"/>
                <w:lang w:bidi="ar"/>
              </w:rPr>
              <w:t>2.5</w:t>
            </w:r>
            <w:r>
              <w:rPr>
                <w:rFonts w:hint="default" w:ascii="Times New Roman" w:hAnsi="Times New Roman" w:eastAsia="宋体" w:cs="Times New Roman"/>
                <w:color w:val="auto"/>
                <w:sz w:val="24"/>
                <w:lang w:bidi="ar"/>
              </w:rPr>
              <w:t>年均浓度控制在47微克/立方米以下。</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（2）地表水质量现状</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监测结果表明，</w:t>
            </w:r>
            <w:r>
              <w:rPr>
                <w:rFonts w:hint="eastAsia" w:ascii="Times New Roman" w:hAnsi="Times New Roman" w:eastAsia="宋体" w:cs="Times New Roman"/>
                <w:color w:val="auto"/>
                <w:sz w:val="24"/>
                <w:lang w:val="en-US" w:eastAsia="zh-CN" w:bidi="ar"/>
              </w:rPr>
              <w:t>采菱港</w:t>
            </w:r>
            <w:r>
              <w:rPr>
                <w:rFonts w:hint="default" w:ascii="Times New Roman" w:hAnsi="Times New Roman" w:eastAsia="宋体" w:cs="Times New Roman"/>
                <w:color w:val="auto"/>
                <w:sz w:val="24"/>
                <w:lang w:bidi="ar"/>
              </w:rPr>
              <w:t>监测</w:t>
            </w:r>
            <w:bookmarkStart w:id="3" w:name="_GoBack"/>
            <w:bookmarkEnd w:id="3"/>
            <w:r>
              <w:rPr>
                <w:rFonts w:hint="default" w:ascii="Times New Roman" w:hAnsi="Times New Roman" w:eastAsia="宋体" w:cs="Times New Roman"/>
                <w:color w:val="auto"/>
                <w:sz w:val="24"/>
                <w:lang w:bidi="ar"/>
              </w:rPr>
              <w:t>断面的各监测因子均能达到《地表水环境质量标准》中Ⅳ类地表水标准限值。</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（3）声环境质量现状</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项目所在地经四周厂界噪声均符合《声环境质量标准》（GB3096-2008）中的</w:t>
            </w: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类标准。</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5、污染物可达标排放</w:t>
            </w:r>
          </w:p>
          <w:p>
            <w:pPr>
              <w:pStyle w:val="3"/>
              <w:widowControl/>
              <w:ind w:firstLine="480"/>
              <w:rPr>
                <w:rFonts w:hint="default" w:ascii="Times New Roman" w:hAnsi="Times New Roman" w:cs="Times New Roman"/>
                <w:color w:val="auto"/>
              </w:rPr>
            </w:pPr>
            <w:r>
              <w:rPr>
                <w:rFonts w:hint="default" w:ascii="Times New Roman" w:hAnsi="Times New Roman" w:cs="Times New Roman"/>
                <w:color w:val="auto"/>
              </w:rPr>
              <w:t>本项目采用雨污分流制，雨水通过雨水管网排放；本本项目无生产废水产生及排放；生活污水经化粪池处理后进入市政管网，最终进武进城区污水处理厂集中处理，尾水排入采菱港。</w:t>
            </w:r>
          </w:p>
          <w:p>
            <w:pPr>
              <w:spacing w:line="360" w:lineRule="auto"/>
              <w:ind w:firstLine="480" w:firstLineChars="200"/>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lang w:bidi="ar"/>
              </w:rPr>
              <w:t>本项目注塑废气经移动式活性炭吸附装置处理后在车间内无组织排放；焊接烟尘由移动式焊接烟尘净化装置收集、处理后在车间内无组织排放</w:t>
            </w:r>
            <w:r>
              <w:rPr>
                <w:rFonts w:hint="eastAsia" w:ascii="Times New Roman" w:hAnsi="Times New Roman" w:eastAsia="宋体" w:cs="Times New Roman"/>
                <w:color w:val="auto"/>
                <w:sz w:val="24"/>
                <w:lang w:eastAsia="zh-CN" w:bidi="ar"/>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本项目生活垃圾由环卫收集处理；边角料和不合格产品、废包装材料委外综合利用；废活性炭、废滤网委托有资质单位处置。故本项目所有固废都得到合理的处置或综合利用，对环境不产生二次污染。</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本项目在生产过程中主要噪声源为剥线机、注塑机、压接机等设备，通过噪声源经墙体隔声和距离衰减后，项目各厂界昼间噪声能达到《工业企业厂界环境噪声排放标准》（GB12348-2008）中3类标准。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通过以上分析，本项目生产过程中产生的“三废”经处理后可达标排放，企业控制方法和分析设备齐全，质量保证体系完善，能够维持污染防治设施的正常运行。</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6、环境影响分析结论</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废气：本项目产生废气经处理后对周围环境的影响较小，大气环境影响可接受，全厂设置防护距离为以生产车间外扩100米形成的包络线，该卫生防护距离包络线范围内无敏感保护目标，以后也不得在卫生防护距离内建设居住区等环境敏感目标，以避免环境纠纷。</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废水：本项目无生产废水产生及排放；生活污水经化粪池处理后进入市政管网，最终进武进城区污水处理厂集中处理，尾水排入采菱港。运营期产生的废水不排入附近地表水体，对地表水环境无直接影响。</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噪声：本项目噪声源主要</w:t>
            </w:r>
            <w:r>
              <w:rPr>
                <w:rFonts w:hint="eastAsia" w:ascii="Times New Roman" w:hAnsi="Times New Roman" w:eastAsia="宋体" w:cs="Times New Roman"/>
                <w:color w:val="auto"/>
                <w:sz w:val="24"/>
                <w:lang w:val="en-US" w:eastAsia="zh-CN" w:bidi="ar"/>
              </w:rPr>
              <w:t>为</w:t>
            </w:r>
            <w:r>
              <w:rPr>
                <w:rFonts w:hint="default" w:ascii="Times New Roman" w:hAnsi="Times New Roman" w:eastAsia="宋体" w:cs="Times New Roman"/>
                <w:color w:val="auto"/>
                <w:sz w:val="24"/>
                <w:lang w:val="en-US" w:eastAsia="zh-CN" w:bidi="ar"/>
              </w:rPr>
              <w:t>剥线机、注塑机、压接机等设备，通过噪声源经墙体隔声和距离衰减后，项目各厂界昼间噪声能达到《工业企业厂界环境噪声排放标准》（GB12348-2008）中3类标准</w:t>
            </w:r>
            <w:r>
              <w:rPr>
                <w:rFonts w:hint="default" w:ascii="Times New Roman" w:hAnsi="Times New Roman" w:eastAsia="宋体" w:cs="Times New Roman"/>
                <w:color w:val="auto"/>
                <w:sz w:val="24"/>
                <w:lang w:bidi="ar"/>
              </w:rPr>
              <w:t>，不会降低周围声环境功能类别。</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固废：本项目生活垃圾由环卫收集处理；边角料和不合格产品、废包装材料委外综合利用；废活性炭、废滤网委托有资质单位处置。故本项目所有固废都得到合理的处置或综合利用，对环境不产生二次污染。</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7、风险评价结论</w:t>
            </w:r>
          </w:p>
          <w:p>
            <w:pPr>
              <w:pStyle w:val="17"/>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eastAsia="宋体" w:cs="Times New Roman"/>
                <w:color w:val="auto"/>
                <w:sz w:val="24"/>
                <w:lang w:val="en-US" w:eastAsia="zh-CN"/>
              </w:rPr>
              <w:t>本项目Q</w:t>
            </w:r>
            <w:r>
              <w:rPr>
                <w:rFonts w:hint="eastAsia" w:ascii="Times New Roman" w:hAnsi="Times New Roman" w:cs="Times New Roman"/>
                <w:color w:val="auto"/>
                <w:sz w:val="24"/>
                <w:lang w:val="en-US" w:eastAsia="zh-CN"/>
              </w:rPr>
              <w:t>=0</w:t>
            </w:r>
            <w:r>
              <w:rPr>
                <w:rFonts w:hint="default" w:ascii="Times New Roman" w:hAnsi="Times New Roman" w:eastAsia="宋体" w:cs="Times New Roman"/>
                <w:color w:val="auto"/>
                <w:sz w:val="24"/>
                <w:lang w:val="en-US" w:eastAsia="zh-CN"/>
              </w:rPr>
              <w:t>，环境风险势能直接判断为I等级</w:t>
            </w:r>
            <w:r>
              <w:rPr>
                <w:rFonts w:hint="default" w:ascii="Times New Roman" w:hAnsi="Times New Roman" w:cs="Times New Roman"/>
                <w:color w:val="auto"/>
                <w:sz w:val="24"/>
                <w:lang w:val="en-US" w:eastAsia="zh-CN"/>
              </w:rPr>
              <w:t>。本项目具有一定的环境风险，建立健全安全环境管理制度，做好相关的风险防范措施。</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8、总量控制指标结论</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水：根据江苏省环境保护厅《关于印发江苏省建设项目主要污染物排放总量区域平衡方案审核管理办法的通知》(苏环办[2011]71号)：“自该通知发布日2011年3月17日起，报批环评报告需新增化学需氧量、氨氮指标的排污单位必须按照省排污权有偿使用和交易试点的有关规定办理申购手续”。建设方应按要求到当地环保部门对COD、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-N排污指标进行申购。本项目废水经</w:t>
            </w:r>
            <w:r>
              <w:rPr>
                <w:rFonts w:hint="eastAsia" w:ascii="Times New Roman" w:hAnsi="Times New Roman" w:eastAsia="宋体" w:cs="Times New Roman"/>
                <w:color w:val="auto"/>
                <w:sz w:val="24"/>
                <w:lang w:val="en-US" w:eastAsia="zh-CN"/>
              </w:rPr>
              <w:t>武进城区污水处理厂集中处理，尾水排入采菱港</w:t>
            </w:r>
            <w:r>
              <w:rPr>
                <w:rFonts w:hint="default" w:ascii="Times New Roman" w:hAnsi="Times New Roman" w:eastAsia="宋体" w:cs="Times New Roman"/>
                <w:color w:val="auto"/>
                <w:sz w:val="24"/>
              </w:rPr>
              <w:t>，其最终排放量为：COD 0.</w:t>
            </w:r>
            <w:r>
              <w:rPr>
                <w:rFonts w:hint="eastAsia" w:ascii="Times New Roman" w:hAnsi="Times New Roman" w:eastAsia="宋体" w:cs="Times New Roman"/>
                <w:color w:val="auto"/>
                <w:sz w:val="24"/>
                <w:lang w:val="en-US" w:eastAsia="zh-CN"/>
              </w:rPr>
              <w:t>012</w:t>
            </w:r>
            <w:r>
              <w:rPr>
                <w:rFonts w:hint="default" w:ascii="Times New Roman" w:hAnsi="Times New Roman" w:eastAsia="宋体" w:cs="Times New Roman"/>
                <w:color w:val="auto"/>
                <w:sz w:val="24"/>
              </w:rPr>
              <w:t xml:space="preserve"> t/a、NH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 0.0</w:t>
            </w:r>
            <w:r>
              <w:rPr>
                <w:rFonts w:hint="eastAsia" w:ascii="Times New Roman" w:hAnsi="Times New Roman" w:eastAsia="宋体" w:cs="Times New Roman"/>
                <w:color w:val="auto"/>
                <w:sz w:val="24"/>
                <w:lang w:val="en-US" w:eastAsia="zh-CN"/>
              </w:rPr>
              <w:t>012</w:t>
            </w:r>
            <w:r>
              <w:rPr>
                <w:rFonts w:hint="default" w:ascii="Times New Roman" w:hAnsi="Times New Roman" w:eastAsia="宋体" w:cs="Times New Roman"/>
                <w:color w:val="auto"/>
                <w:sz w:val="24"/>
              </w:rPr>
              <w:t>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气：根据《常州市建设项目主要污染物排放总量指标审核及管理实施细则》（常政办发[2015]104号）：“建设项目主要污染物排放总量指标按工程减排类项目2倍削减量替代或关闭类项目1.5倍削减量替代。”本项目建成后</w:t>
            </w:r>
            <w:r>
              <w:rPr>
                <w:rFonts w:hint="default" w:ascii="Times New Roman" w:hAnsi="Times New Roman" w:eastAsia="宋体" w:cs="Times New Roman"/>
                <w:color w:val="auto"/>
                <w:sz w:val="24"/>
                <w:lang w:val="en-US" w:eastAsia="zh-CN"/>
              </w:rPr>
              <w:t>无组织排放的大气污染物：VOCs（含非甲烷总烃） 0.0000</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t/a、颗粒物（含锡及其化合物）0.0</w:t>
            </w:r>
            <w:r>
              <w:rPr>
                <w:rFonts w:hint="eastAsia" w:ascii="Times New Roman" w:hAnsi="Times New Roman" w:eastAsia="宋体" w:cs="Times New Roman"/>
                <w:color w:val="auto"/>
                <w:sz w:val="24"/>
                <w:lang w:val="en-US" w:eastAsia="zh-CN"/>
              </w:rPr>
              <w:t>0095</w:t>
            </w:r>
            <w:r>
              <w:rPr>
                <w:rFonts w:hint="default" w:ascii="Times New Roman" w:hAnsi="Times New Roman" w:eastAsia="宋体" w:cs="Times New Roman"/>
                <w:color w:val="auto"/>
                <w:sz w:val="24"/>
                <w:lang w:val="en-US" w:eastAsia="zh-CN"/>
              </w:rPr>
              <w:t>t/a</w:t>
            </w:r>
            <w:r>
              <w:rPr>
                <w:rFonts w:hint="default" w:ascii="Times New Roman" w:hAnsi="Times New Roman" w:eastAsia="宋体" w:cs="Times New Roman"/>
                <w:color w:val="auto"/>
                <w:sz w:val="24"/>
              </w:rPr>
              <w:t>需申请总量，</w:t>
            </w:r>
            <w:r>
              <w:rPr>
                <w:rFonts w:hint="default" w:ascii="Times New Roman" w:hAnsi="Times New Roman" w:eastAsia="宋体" w:cs="Times New Roman"/>
                <w:color w:val="auto"/>
                <w:sz w:val="24"/>
                <w:lang w:val="en-US" w:eastAsia="zh-CN"/>
              </w:rPr>
              <w:t>需在武进区内实现区域平衡</w:t>
            </w:r>
            <w:r>
              <w:rPr>
                <w:rFonts w:hint="default" w:ascii="Times New Roman" w:hAnsi="Times New Roman" w:eastAsia="宋体" w:cs="Times New Roman"/>
                <w:color w:val="auto"/>
                <w:sz w:val="24"/>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固废：本项目产生的固废均进行合理处理，实行固体废弃物零排放，不单独申请总量。</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二、建议</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1、加强施工期环境管理，合理安排施工时间。</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2、合理布局噪声设备，加强设备噪声设治理，尽量减轻噪声及振动对环境的影响。</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3、加强环保设施的维护和管理，保证设备正常运行。</w:t>
            </w:r>
          </w:p>
          <w:p>
            <w:pPr>
              <w:spacing w:line="360" w:lineRule="auto"/>
              <w:ind w:firstLine="480" w:firstLineChars="200"/>
              <w:rPr>
                <w:rFonts w:hint="default" w:ascii="Times New Roman" w:hAnsi="Times New Roman" w:eastAsia="宋体" w:cs="Times New Roman"/>
                <w:color w:val="auto"/>
                <w:sz w:val="24"/>
              </w:rPr>
            </w:pPr>
          </w:p>
        </w:tc>
      </w:tr>
    </w:tbl>
    <w:p>
      <w:pPr>
        <w:rPr>
          <w:rFonts w:hint="default" w:ascii="Times New Roman" w:hAnsi="Times New Roman" w:eastAsia="宋体" w:cs="Times New Roman"/>
          <w:color w:val="auto"/>
          <w:sz w:val="24"/>
        </w:rPr>
        <w:sectPr>
          <w:pgSz w:w="11906" w:h="16838"/>
          <w:pgMar w:top="1440" w:right="1800" w:bottom="1440" w:left="1800" w:header="851" w:footer="992" w:gutter="0"/>
          <w:pgNumType w:fmt="decimal"/>
          <w:cols w:space="425" w:num="1"/>
          <w:docGrid w:type="lines" w:linePitch="312" w:charSpace="0"/>
        </w:sectPr>
      </w:pPr>
    </w:p>
    <w:tbl>
      <w:tblPr>
        <w:tblStyle w:val="15"/>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预审意见：</w:t>
            </w: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公章</w:t>
            </w: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3" w:hRule="atLeast"/>
        </w:trPr>
        <w:tc>
          <w:tcPr>
            <w:tcW w:w="8296" w:type="dxa"/>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下一级环境保护行政主管部门审查意见：</w:t>
            </w: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公章</w:t>
            </w: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470" w:hRule="atLeast"/>
        </w:trPr>
        <w:tc>
          <w:tcPr>
            <w:tcW w:w="8296" w:type="dxa"/>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审批意见：</w:t>
            </w: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公章</w:t>
            </w: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6" w:space="0"/>
              <w:left w:val="single" w:color="auto" w:sz="12" w:space="0"/>
              <w:bottom w:val="single" w:color="auto" w:sz="12" w:space="0"/>
              <w:right w:val="single" w:color="auto" w:sz="12" w:space="0"/>
            </w:tcBorders>
            <w:shd w:val="clear" w:color="auto" w:fill="auto"/>
          </w:tcPr>
          <w:p>
            <w:pPr>
              <w:snapToGrid w:val="0"/>
              <w:spacing w:line="360" w:lineRule="auto"/>
              <w:ind w:firstLine="480" w:firstLineChars="200"/>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注释</w:t>
            </w:r>
          </w:p>
          <w:p>
            <w:pPr>
              <w:snapToGrid w:val="0"/>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1.本报告表应附以下附件、附图：</w:t>
            </w:r>
          </w:p>
          <w:p>
            <w:pPr>
              <w:snapToGrid w:val="0"/>
              <w:spacing w:line="360" w:lineRule="auto"/>
              <w:ind w:firstLine="482" w:firstLineChars="200"/>
              <w:rPr>
                <w:rFonts w:hint="default" w:ascii="Times New Roman" w:hAnsi="Times New Roman" w:cs="Times New Roman" w:eastAsiaTheme="minorEastAsia"/>
                <w:b/>
                <w:bCs w:val="0"/>
                <w:color w:val="auto"/>
                <w:sz w:val="24"/>
              </w:rPr>
            </w:pPr>
            <w:r>
              <w:rPr>
                <w:rFonts w:hint="default" w:ascii="Times New Roman" w:hAnsi="Times New Roman" w:cs="Times New Roman" w:eastAsiaTheme="minorEastAsia"/>
                <w:b/>
                <w:bCs w:val="0"/>
                <w:color w:val="auto"/>
                <w:sz w:val="24"/>
                <w:lang w:bidi="ar"/>
              </w:rPr>
              <w:t>附件：</w:t>
            </w:r>
          </w:p>
          <w:p>
            <w:pPr>
              <w:spacing w:line="450" w:lineRule="exact"/>
              <w:ind w:firstLine="480" w:firstLineChars="20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附件1    环评委托书/法人授权委托书；</w:t>
            </w:r>
          </w:p>
          <w:p>
            <w:pPr>
              <w:spacing w:line="450" w:lineRule="exact"/>
              <w:ind w:firstLine="480" w:firstLineChars="200"/>
              <w:rPr>
                <w:rFonts w:hint="default" w:ascii="Times New Roman" w:hAnsi="Times New Roman" w:cs="Times New Roman" w:eastAsiaTheme="minorEastAsia"/>
                <w:b w:val="0"/>
                <w:bCs/>
                <w:color w:val="000000"/>
                <w:sz w:val="24"/>
                <w:szCs w:val="24"/>
                <w:lang w:eastAsia="zh-CN"/>
              </w:rPr>
            </w:pPr>
            <w:r>
              <w:rPr>
                <w:rFonts w:hint="default" w:ascii="Times New Roman" w:hAnsi="Times New Roman" w:cs="Times New Roman"/>
                <w:b w:val="0"/>
                <w:bCs/>
                <w:color w:val="000000"/>
                <w:sz w:val="24"/>
                <w:szCs w:val="24"/>
              </w:rPr>
              <w:t xml:space="preserve">附件2    </w:t>
            </w:r>
            <w:r>
              <w:rPr>
                <w:rFonts w:hint="default" w:ascii="Times New Roman" w:hAnsi="Times New Roman" w:cs="Times New Roman"/>
                <w:b w:val="0"/>
                <w:bCs/>
                <w:color w:val="000000"/>
                <w:sz w:val="24"/>
                <w:szCs w:val="24"/>
                <w:lang w:val="en-US" w:eastAsia="zh-CN"/>
              </w:rPr>
              <w:t>备案证</w:t>
            </w:r>
          </w:p>
          <w:p>
            <w:pPr>
              <w:spacing w:line="450" w:lineRule="exact"/>
              <w:ind w:firstLine="480" w:firstLineChars="20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附件3    企业法人营业执照；</w:t>
            </w:r>
          </w:p>
          <w:p>
            <w:pPr>
              <w:spacing w:line="450" w:lineRule="exact"/>
              <w:ind w:left="1679" w:leftChars="228" w:hanging="1200" w:hangingChars="50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附件4    土地手续；</w:t>
            </w:r>
          </w:p>
          <w:p>
            <w:pPr>
              <w:spacing w:line="450" w:lineRule="exact"/>
              <w:ind w:firstLine="480" w:firstLineChars="20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附件5    危废处置承诺；</w:t>
            </w:r>
          </w:p>
          <w:p>
            <w:pPr>
              <w:spacing w:line="450" w:lineRule="exact"/>
              <w:ind w:firstLine="480" w:firstLineChars="200"/>
              <w:rPr>
                <w:rFonts w:hint="default" w:ascii="Times New Roman" w:hAnsi="Times New Roman" w:cs="Times New Roman" w:eastAsiaTheme="minorEastAsia"/>
                <w:b w:val="0"/>
                <w:bCs/>
                <w:color w:val="000000"/>
                <w:sz w:val="24"/>
                <w:szCs w:val="24"/>
                <w:lang w:eastAsia="zh-CN"/>
              </w:rPr>
            </w:pPr>
            <w:r>
              <w:rPr>
                <w:rFonts w:hint="default" w:ascii="Times New Roman" w:hAnsi="Times New Roman" w:cs="Times New Roman"/>
                <w:b w:val="0"/>
                <w:bCs/>
                <w:color w:val="000000"/>
                <w:sz w:val="24"/>
                <w:szCs w:val="24"/>
              </w:rPr>
              <w:t>附件6    污水接管</w:t>
            </w:r>
            <w:r>
              <w:rPr>
                <w:rFonts w:hint="default" w:ascii="Times New Roman" w:hAnsi="Times New Roman" w:cs="Times New Roman"/>
                <w:b w:val="0"/>
                <w:bCs/>
                <w:color w:val="000000"/>
                <w:sz w:val="24"/>
                <w:szCs w:val="24"/>
                <w:lang w:val="en-US" w:eastAsia="zh-CN"/>
              </w:rPr>
              <w:t>合同；</w:t>
            </w:r>
          </w:p>
          <w:p>
            <w:pPr>
              <w:spacing w:line="450" w:lineRule="exact"/>
              <w:ind w:firstLine="480" w:firstLineChars="20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附件7    建设项目环境影响登记表；</w:t>
            </w:r>
          </w:p>
          <w:p>
            <w:pPr>
              <w:spacing w:line="450" w:lineRule="exact"/>
              <w:ind w:firstLine="480" w:firstLineChars="20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附件</w:t>
            </w:r>
            <w:r>
              <w:rPr>
                <w:rFonts w:hint="default" w:ascii="Times New Roman" w:hAnsi="Times New Roman" w:cs="Times New Roman"/>
                <w:b w:val="0"/>
                <w:bCs/>
                <w:color w:val="000000"/>
                <w:sz w:val="24"/>
                <w:szCs w:val="24"/>
                <w:lang w:val="en-US" w:eastAsia="zh-CN"/>
              </w:rPr>
              <w:t>8</w:t>
            </w:r>
            <w:r>
              <w:rPr>
                <w:rFonts w:hint="default" w:ascii="Times New Roman" w:hAnsi="Times New Roman" w:cs="Times New Roman"/>
                <w:b w:val="0"/>
                <w:bCs/>
                <w:color w:val="000000"/>
                <w:sz w:val="24"/>
                <w:szCs w:val="24"/>
              </w:rPr>
              <w:t xml:space="preserve">    环境质量现状监测报告；</w:t>
            </w:r>
          </w:p>
          <w:p>
            <w:pPr>
              <w:spacing w:line="450" w:lineRule="exact"/>
              <w:ind w:firstLine="480" w:firstLineChars="200"/>
              <w:rPr>
                <w:rFonts w:hint="default" w:ascii="Times New Roman" w:hAnsi="Times New Roman" w:cs="Times New Roman"/>
                <w:b w:val="0"/>
                <w:bCs/>
                <w:color w:val="000000"/>
                <w:sz w:val="24"/>
                <w:szCs w:val="24"/>
              </w:rPr>
            </w:pPr>
            <w:r>
              <w:rPr>
                <w:rFonts w:hint="eastAsia" w:ascii="Times New Roman" w:hAnsi="Times New Roman" w:cs="Times New Roman"/>
                <w:b w:val="0"/>
                <w:bCs/>
                <w:color w:val="000000"/>
                <w:sz w:val="24"/>
                <w:szCs w:val="24"/>
                <w:lang w:val="en-US" w:eastAsia="zh-CN"/>
              </w:rPr>
              <w:t xml:space="preserve">附件11   </w:t>
            </w:r>
            <w:r>
              <w:rPr>
                <w:rFonts w:hint="default" w:ascii="Times New Roman" w:hAnsi="Times New Roman" w:cs="Times New Roman"/>
                <w:b w:val="0"/>
                <w:bCs/>
                <w:color w:val="000000"/>
                <w:sz w:val="24"/>
                <w:szCs w:val="24"/>
              </w:rPr>
              <w:t>编制主持人现场照片；</w:t>
            </w:r>
          </w:p>
          <w:p>
            <w:pPr>
              <w:spacing w:line="450" w:lineRule="exact"/>
              <w:ind w:firstLine="480" w:firstLineChars="200"/>
              <w:rPr>
                <w:rFonts w:hint="default" w:ascii="Times New Roman" w:hAnsi="Times New Roman" w:cs="Times New Roman" w:eastAsiaTheme="minorEastAsia"/>
                <w:b w:val="0"/>
                <w:bCs/>
                <w:color w:val="000000"/>
                <w:sz w:val="24"/>
                <w:szCs w:val="24"/>
                <w:lang w:eastAsia="zh-CN"/>
              </w:rPr>
            </w:pPr>
            <w:r>
              <w:rPr>
                <w:rFonts w:hint="default" w:ascii="Times New Roman" w:hAnsi="Times New Roman" w:cs="Times New Roman"/>
                <w:b w:val="0"/>
                <w:bCs/>
                <w:color w:val="000000"/>
                <w:sz w:val="24"/>
                <w:szCs w:val="24"/>
              </w:rPr>
              <w:t>附件</w:t>
            </w:r>
            <w:r>
              <w:rPr>
                <w:rFonts w:hint="default" w:ascii="Times New Roman" w:hAnsi="Times New Roman" w:cs="Times New Roman"/>
                <w:b w:val="0"/>
                <w:bCs/>
                <w:color w:val="000000"/>
                <w:sz w:val="24"/>
                <w:szCs w:val="24"/>
                <w:lang w:val="en-US" w:eastAsia="zh-CN"/>
              </w:rPr>
              <w:t>1</w:t>
            </w:r>
            <w:r>
              <w:rPr>
                <w:rFonts w:hint="eastAsia" w:ascii="Times New Roman" w:hAnsi="Times New Roman" w:cs="Times New Roman"/>
                <w:b w:val="0"/>
                <w:bCs/>
                <w:color w:val="000000"/>
                <w:sz w:val="24"/>
                <w:szCs w:val="24"/>
                <w:lang w:val="en-US" w:eastAsia="zh-CN"/>
              </w:rPr>
              <w:t>2</w:t>
            </w:r>
            <w:r>
              <w:rPr>
                <w:rFonts w:hint="default" w:ascii="Times New Roman" w:hAnsi="Times New Roman" w:cs="Times New Roman"/>
                <w:b w:val="0"/>
                <w:bCs/>
                <w:color w:val="000000"/>
                <w:sz w:val="24"/>
                <w:szCs w:val="24"/>
              </w:rPr>
              <w:t xml:space="preserve">   全文本公开证明材料</w:t>
            </w:r>
            <w:r>
              <w:rPr>
                <w:rFonts w:hint="default" w:ascii="Times New Roman" w:hAnsi="Times New Roman" w:cs="Times New Roman"/>
                <w:b w:val="0"/>
                <w:bCs/>
                <w:color w:val="000000"/>
                <w:sz w:val="24"/>
                <w:szCs w:val="24"/>
                <w:lang w:eastAsia="zh-CN"/>
              </w:rPr>
              <w:t>；</w:t>
            </w:r>
          </w:p>
          <w:p>
            <w:pPr>
              <w:spacing w:line="450" w:lineRule="exact"/>
              <w:ind w:firstLine="480" w:firstLineChars="20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附件</w:t>
            </w:r>
            <w:r>
              <w:rPr>
                <w:rFonts w:hint="default" w:ascii="Times New Roman" w:hAnsi="Times New Roman" w:cs="Times New Roman"/>
                <w:b w:val="0"/>
                <w:bCs/>
                <w:color w:val="000000"/>
                <w:sz w:val="24"/>
                <w:szCs w:val="24"/>
                <w:lang w:val="en-US" w:eastAsia="zh-CN"/>
              </w:rPr>
              <w:t>1</w:t>
            </w:r>
            <w:r>
              <w:rPr>
                <w:rFonts w:hint="eastAsia" w:ascii="Times New Roman" w:hAnsi="Times New Roman" w:cs="Times New Roman"/>
                <w:b w:val="0"/>
                <w:bCs/>
                <w:color w:val="000000"/>
                <w:sz w:val="24"/>
                <w:szCs w:val="24"/>
                <w:lang w:val="en-US" w:eastAsia="zh-CN"/>
              </w:rPr>
              <w:t>3</w:t>
            </w:r>
            <w:r>
              <w:rPr>
                <w:rFonts w:hint="default" w:ascii="Times New Roman" w:hAnsi="Times New Roman" w:cs="Times New Roman"/>
                <w:b w:val="0"/>
                <w:bCs/>
                <w:color w:val="000000"/>
                <w:sz w:val="24"/>
                <w:szCs w:val="24"/>
              </w:rPr>
              <w:t xml:space="preserve">   建设单位承诺书；</w:t>
            </w:r>
          </w:p>
          <w:p>
            <w:pPr>
              <w:spacing w:line="450" w:lineRule="exact"/>
              <w:ind w:firstLine="480" w:firstLineChars="20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附件1</w:t>
            </w:r>
            <w:r>
              <w:rPr>
                <w:rFonts w:hint="eastAsia" w:ascii="Times New Roman" w:hAnsi="Times New Roman" w:cs="Times New Roman"/>
                <w:b w:val="0"/>
                <w:bCs/>
                <w:color w:val="000000"/>
                <w:sz w:val="24"/>
                <w:szCs w:val="24"/>
                <w:lang w:val="en-US" w:eastAsia="zh-CN"/>
              </w:rPr>
              <w:t>4</w:t>
            </w:r>
            <w:r>
              <w:rPr>
                <w:rFonts w:hint="default" w:ascii="Times New Roman" w:hAnsi="Times New Roman" w:cs="Times New Roman"/>
                <w:b w:val="0"/>
                <w:bCs/>
                <w:color w:val="000000"/>
                <w:sz w:val="24"/>
                <w:szCs w:val="24"/>
              </w:rPr>
              <w:t xml:space="preserve">   建设项目环评审批基础信息表</w:t>
            </w:r>
          </w:p>
          <w:p>
            <w:pPr>
              <w:snapToGrid w:val="0"/>
              <w:spacing w:line="360" w:lineRule="auto"/>
              <w:ind w:firstLine="480" w:firstLineChars="200"/>
              <w:rPr>
                <w:rFonts w:hint="default" w:ascii="Times New Roman" w:hAnsi="Times New Roman" w:cs="Times New Roman" w:eastAsiaTheme="minorEastAsia"/>
                <w:color w:val="auto"/>
                <w:sz w:val="24"/>
              </w:rPr>
            </w:pPr>
          </w:p>
          <w:p>
            <w:pPr>
              <w:snapToGrid w:val="0"/>
              <w:spacing w:line="360" w:lineRule="auto"/>
              <w:ind w:firstLine="482" w:firstLineChars="200"/>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lang w:bidi="ar"/>
              </w:rPr>
              <w:t>附图：</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附图1、项目地理位置图</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附图2、项目周边500m土地利用现状示意图</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附图3、厂区平面布置图</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附图</w:t>
            </w:r>
            <w:r>
              <w:rPr>
                <w:rFonts w:hint="eastAsia" w:ascii="Times New Roman" w:hAnsi="Times New Roman" w:cs="Times New Roman"/>
                <w:color w:val="auto"/>
                <w:sz w:val="24"/>
                <w:lang w:val="en-US" w:eastAsia="zh-CN" w:bidi="ar"/>
              </w:rPr>
              <w:t>4</w:t>
            </w:r>
            <w:r>
              <w:rPr>
                <w:rFonts w:hint="default" w:ascii="Times New Roman" w:hAnsi="Times New Roman" w:cs="Times New Roman" w:eastAsiaTheme="minorEastAsia"/>
                <w:color w:val="auto"/>
                <w:sz w:val="24"/>
                <w:lang w:bidi="ar"/>
              </w:rPr>
              <w:t>、常州市生态红线区域分布图</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附图</w:t>
            </w:r>
            <w:r>
              <w:rPr>
                <w:rFonts w:hint="eastAsia" w:ascii="Times New Roman" w:hAnsi="Times New Roman" w:cs="Times New Roman"/>
                <w:color w:val="auto"/>
                <w:sz w:val="24"/>
                <w:lang w:val="en-US" w:eastAsia="zh-CN" w:bidi="ar"/>
              </w:rPr>
              <w:t>5</w:t>
            </w:r>
            <w:r>
              <w:rPr>
                <w:rFonts w:hint="default" w:ascii="Times New Roman" w:hAnsi="Times New Roman" w:cs="Times New Roman" w:eastAsiaTheme="minorEastAsia"/>
                <w:color w:val="auto"/>
                <w:sz w:val="24"/>
                <w:lang w:bidi="ar"/>
              </w:rPr>
              <w:t>、企业周边水系及水质监测断面图</w:t>
            </w:r>
          </w:p>
          <w:p>
            <w:pPr>
              <w:pStyle w:val="17"/>
              <w:widowControl/>
              <w:rPr>
                <w:rFonts w:hint="default" w:ascii="Times New Roman" w:hAnsi="Times New Roman" w:cs="Times New Roman" w:eastAsiaTheme="minorEastAsia"/>
                <w:color w:val="auto"/>
              </w:rPr>
            </w:pP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2.如果本报告表不能说明项目产生的污染及对环境造成的影响，应进行专项评价。根据建设项目的特点和当地环境特征，应选下列1-2项进行专项评价。</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（1）大气环境影响专项评价</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（2）水环境影响专项评价（包括地表水和地下水）</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（3）生态环境影响专项评价</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（4）声影响专项评价</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（5）土壤影响专项评价</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（6）固体废弃物影响专项评价</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（7）辐射环境影响专项评价（包括电离辐射和电磁辐射）</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bidi="ar"/>
              </w:rPr>
              <w:t>以上专项评价未包括的可另列专项，专项评价按照《环境影响评价技术导则》中的要求进行。</w:t>
            </w:r>
          </w:p>
        </w:tc>
      </w:tr>
    </w:tbl>
    <w:p>
      <w:pPr>
        <w:spacing w:line="360" w:lineRule="auto"/>
        <w:ind w:firstLine="480" w:firstLineChars="200"/>
        <w:rPr>
          <w:rFonts w:hint="default" w:ascii="Times New Roman" w:hAnsi="Times New Roman" w:eastAsia="宋体" w:cs="Times New Roman"/>
          <w:color w:val="auto"/>
          <w:sz w:val="24"/>
        </w:rPr>
      </w:pPr>
    </w:p>
    <w:p>
      <w:pPr>
        <w:rPr>
          <w:rFonts w:hint="default" w:ascii="Times New Roman" w:hAnsi="Times New Roman" w:cs="Times New Roman"/>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CDE2"/>
    <w:multiLevelType w:val="singleLevel"/>
    <w:tmpl w:val="1073CDE2"/>
    <w:lvl w:ilvl="0" w:tentative="0">
      <w:start w:val="1"/>
      <w:numFmt w:val="decimal"/>
      <w:suff w:val="nothing"/>
      <w:lvlText w:val="（%1）"/>
      <w:lvlJc w:val="left"/>
    </w:lvl>
  </w:abstractNum>
  <w:abstractNum w:abstractNumId="1">
    <w:nsid w:val="21DDFE1D"/>
    <w:multiLevelType w:val="singleLevel"/>
    <w:tmpl w:val="21DDFE1D"/>
    <w:lvl w:ilvl="0" w:tentative="0">
      <w:start w:val="1"/>
      <w:numFmt w:val="decimal"/>
      <w:suff w:val="nothing"/>
      <w:lvlText w:val="%1）"/>
      <w:lvlJc w:val="left"/>
    </w:lvl>
  </w:abstractNum>
  <w:abstractNum w:abstractNumId="2">
    <w:nsid w:val="63E5A665"/>
    <w:multiLevelType w:val="singleLevel"/>
    <w:tmpl w:val="63E5A665"/>
    <w:lvl w:ilvl="0" w:tentative="0">
      <w:start w:val="6"/>
      <w:numFmt w:val="decimal"/>
      <w:suff w:val="nothing"/>
      <w:lvlText w:val="%1、"/>
      <w:lvlJc w:val="left"/>
    </w:lvl>
  </w:abstractNum>
  <w:abstractNum w:abstractNumId="3">
    <w:nsid w:val="663B946F"/>
    <w:multiLevelType w:val="multilevel"/>
    <w:tmpl w:val="663B946F"/>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E54612C"/>
    <w:multiLevelType w:val="multilevel"/>
    <w:tmpl w:val="6E54612C"/>
    <w:lvl w:ilvl="0" w:tentative="0">
      <w:start w:val="1"/>
      <w:numFmt w:val="upperLetter"/>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030D4"/>
    <w:rsid w:val="00561C01"/>
    <w:rsid w:val="007F3728"/>
    <w:rsid w:val="00947B6C"/>
    <w:rsid w:val="00F41FF4"/>
    <w:rsid w:val="00FA24C5"/>
    <w:rsid w:val="01AC4BD2"/>
    <w:rsid w:val="025A1C3A"/>
    <w:rsid w:val="02F527A3"/>
    <w:rsid w:val="05565C4B"/>
    <w:rsid w:val="07054A9A"/>
    <w:rsid w:val="07136033"/>
    <w:rsid w:val="07531324"/>
    <w:rsid w:val="085A02FC"/>
    <w:rsid w:val="08A22CE4"/>
    <w:rsid w:val="090F4264"/>
    <w:rsid w:val="097B0E96"/>
    <w:rsid w:val="09F018BD"/>
    <w:rsid w:val="0BD973F4"/>
    <w:rsid w:val="0C25703C"/>
    <w:rsid w:val="0C4D2649"/>
    <w:rsid w:val="0C633859"/>
    <w:rsid w:val="0CF63F9D"/>
    <w:rsid w:val="0D157309"/>
    <w:rsid w:val="0E7312E4"/>
    <w:rsid w:val="0FFD4720"/>
    <w:rsid w:val="11F133FE"/>
    <w:rsid w:val="12455073"/>
    <w:rsid w:val="12A23B67"/>
    <w:rsid w:val="15C30D89"/>
    <w:rsid w:val="16D36D32"/>
    <w:rsid w:val="1A002773"/>
    <w:rsid w:val="1B3A3772"/>
    <w:rsid w:val="1BCE7F5B"/>
    <w:rsid w:val="1BD12CC8"/>
    <w:rsid w:val="20030357"/>
    <w:rsid w:val="204408EC"/>
    <w:rsid w:val="20755B47"/>
    <w:rsid w:val="217B47F4"/>
    <w:rsid w:val="23CB22F7"/>
    <w:rsid w:val="24494F80"/>
    <w:rsid w:val="24707E3E"/>
    <w:rsid w:val="24A3741D"/>
    <w:rsid w:val="25C03B45"/>
    <w:rsid w:val="26A359C6"/>
    <w:rsid w:val="26BB6770"/>
    <w:rsid w:val="27694872"/>
    <w:rsid w:val="288D3230"/>
    <w:rsid w:val="28E46556"/>
    <w:rsid w:val="2AA36BE4"/>
    <w:rsid w:val="2AEA12C7"/>
    <w:rsid w:val="2B560E0F"/>
    <w:rsid w:val="2C0318C3"/>
    <w:rsid w:val="2C1D0031"/>
    <w:rsid w:val="2E8221E7"/>
    <w:rsid w:val="2FA75F21"/>
    <w:rsid w:val="314C151D"/>
    <w:rsid w:val="31A237FE"/>
    <w:rsid w:val="31DE6CEC"/>
    <w:rsid w:val="36713217"/>
    <w:rsid w:val="367F5066"/>
    <w:rsid w:val="36E30A4E"/>
    <w:rsid w:val="38AE07EA"/>
    <w:rsid w:val="3D956DE8"/>
    <w:rsid w:val="3E5B5A7F"/>
    <w:rsid w:val="3E9A4F18"/>
    <w:rsid w:val="3ED558A4"/>
    <w:rsid w:val="3FD96DF9"/>
    <w:rsid w:val="3FF300FC"/>
    <w:rsid w:val="405D6C48"/>
    <w:rsid w:val="40771352"/>
    <w:rsid w:val="408E2D4C"/>
    <w:rsid w:val="40EA1E22"/>
    <w:rsid w:val="411341AF"/>
    <w:rsid w:val="4142399F"/>
    <w:rsid w:val="417A7EB1"/>
    <w:rsid w:val="43975C91"/>
    <w:rsid w:val="44525053"/>
    <w:rsid w:val="44883D5A"/>
    <w:rsid w:val="45947D8B"/>
    <w:rsid w:val="46D40679"/>
    <w:rsid w:val="48871054"/>
    <w:rsid w:val="49DD41A8"/>
    <w:rsid w:val="4A1C038A"/>
    <w:rsid w:val="4A497AF9"/>
    <w:rsid w:val="4AC52DF9"/>
    <w:rsid w:val="4BAA7437"/>
    <w:rsid w:val="4C451CAC"/>
    <w:rsid w:val="4E0B535B"/>
    <w:rsid w:val="51EA7B00"/>
    <w:rsid w:val="539D0B17"/>
    <w:rsid w:val="540A7A86"/>
    <w:rsid w:val="56A27691"/>
    <w:rsid w:val="56CF3C3D"/>
    <w:rsid w:val="56D61207"/>
    <w:rsid w:val="56E07A3D"/>
    <w:rsid w:val="56ED2606"/>
    <w:rsid w:val="57555F5D"/>
    <w:rsid w:val="57D63812"/>
    <w:rsid w:val="596231D3"/>
    <w:rsid w:val="59B472C4"/>
    <w:rsid w:val="5B1B3073"/>
    <w:rsid w:val="5B36041D"/>
    <w:rsid w:val="5C604599"/>
    <w:rsid w:val="5CD178E4"/>
    <w:rsid w:val="5D2C127F"/>
    <w:rsid w:val="5ED340FD"/>
    <w:rsid w:val="5EEB2538"/>
    <w:rsid w:val="5F4F1D83"/>
    <w:rsid w:val="5F9B04A6"/>
    <w:rsid w:val="6012453D"/>
    <w:rsid w:val="601245E8"/>
    <w:rsid w:val="62A470F1"/>
    <w:rsid w:val="62FF1D9E"/>
    <w:rsid w:val="63080A17"/>
    <w:rsid w:val="631D6012"/>
    <w:rsid w:val="64180D48"/>
    <w:rsid w:val="648B07CA"/>
    <w:rsid w:val="64AC1FCE"/>
    <w:rsid w:val="66395C5B"/>
    <w:rsid w:val="667D141D"/>
    <w:rsid w:val="67571BFD"/>
    <w:rsid w:val="67B00572"/>
    <w:rsid w:val="68800F5D"/>
    <w:rsid w:val="68B233AD"/>
    <w:rsid w:val="69060753"/>
    <w:rsid w:val="69380854"/>
    <w:rsid w:val="69CB4E5F"/>
    <w:rsid w:val="6AD96E08"/>
    <w:rsid w:val="6AF4653E"/>
    <w:rsid w:val="6B703E01"/>
    <w:rsid w:val="6BAD650D"/>
    <w:rsid w:val="6C8F6F15"/>
    <w:rsid w:val="6CCD1A23"/>
    <w:rsid w:val="6E2815EA"/>
    <w:rsid w:val="6E572F87"/>
    <w:rsid w:val="6E6F6902"/>
    <w:rsid w:val="6F360F82"/>
    <w:rsid w:val="6F877DD3"/>
    <w:rsid w:val="6FA75A87"/>
    <w:rsid w:val="70F17E1C"/>
    <w:rsid w:val="70FB6FB7"/>
    <w:rsid w:val="711146EF"/>
    <w:rsid w:val="71335073"/>
    <w:rsid w:val="72170009"/>
    <w:rsid w:val="72981EF6"/>
    <w:rsid w:val="72BA67EE"/>
    <w:rsid w:val="72C11B1F"/>
    <w:rsid w:val="73333FC1"/>
    <w:rsid w:val="73D05F4D"/>
    <w:rsid w:val="740437AE"/>
    <w:rsid w:val="748819F5"/>
    <w:rsid w:val="74FF4B3A"/>
    <w:rsid w:val="76037260"/>
    <w:rsid w:val="76E11FAF"/>
    <w:rsid w:val="78336089"/>
    <w:rsid w:val="78A91CCE"/>
    <w:rsid w:val="78EE3091"/>
    <w:rsid w:val="79712EA1"/>
    <w:rsid w:val="7A7A3114"/>
    <w:rsid w:val="7A9907FE"/>
    <w:rsid w:val="7AF50897"/>
    <w:rsid w:val="7C375E7A"/>
    <w:rsid w:val="7E270B3D"/>
    <w:rsid w:val="7F83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pPr>
      <w:spacing w:before="60" w:line="360" w:lineRule="auto"/>
      <w:ind w:firstLine="480" w:firstLineChars="200"/>
      <w:jc w:val="center"/>
    </w:pPr>
    <w:rPr>
      <w:rFonts w:ascii="Times New Roman" w:hAnsi="Times New Roman" w:eastAsia="宋体" w:cs="Times New Roman"/>
      <w:b/>
      <w:color w:val="FF0000"/>
      <w:sz w:val="24"/>
    </w:rPr>
  </w:style>
  <w:style w:type="paragraph" w:styleId="3">
    <w:name w:val="annotation text"/>
    <w:basedOn w:val="1"/>
    <w:unhideWhenUsed/>
    <w:qFormat/>
    <w:uiPriority w:val="99"/>
    <w:pPr>
      <w:spacing w:line="360" w:lineRule="auto"/>
      <w:ind w:firstLine="200" w:firstLineChars="200"/>
      <w:jc w:val="left"/>
    </w:pPr>
    <w:rPr>
      <w:rFonts w:ascii="Calibri" w:hAnsi="Calibri" w:eastAsia="宋体" w:cs="Times New Roman"/>
      <w:sz w:val="24"/>
    </w:rPr>
  </w:style>
  <w:style w:type="paragraph" w:styleId="4">
    <w:name w:val="Body Text"/>
    <w:basedOn w:val="1"/>
    <w:qFormat/>
    <w:uiPriority w:val="0"/>
    <w:pPr>
      <w:spacing w:line="0" w:lineRule="atLeast"/>
    </w:pPr>
    <w:rPr>
      <w:b/>
      <w:bCs/>
      <w:sz w:val="24"/>
    </w:rPr>
  </w:style>
  <w:style w:type="paragraph" w:styleId="5">
    <w:name w:val="Body Text Indent"/>
    <w:basedOn w:val="1"/>
    <w:qFormat/>
    <w:uiPriority w:val="0"/>
    <w:pPr>
      <w:spacing w:line="500" w:lineRule="exact"/>
      <w:ind w:firstLine="555" w:firstLineChars="0"/>
    </w:pPr>
    <w:rPr>
      <w:rFonts w:ascii="仿宋_GB2312" w:eastAsia="仿宋_GB2312" w:cs="Times New Roman"/>
      <w:sz w:val="28"/>
      <w:szCs w:val="20"/>
    </w:rPr>
  </w:style>
  <w:style w:type="paragraph" w:styleId="6">
    <w:name w:val="Plain Text"/>
    <w:basedOn w:val="1"/>
    <w:unhideWhenUsed/>
    <w:qFormat/>
    <w:uiPriority w:val="0"/>
    <w:pPr>
      <w:widowControl/>
      <w:spacing w:line="360" w:lineRule="exact"/>
      <w:jc w:val="left"/>
    </w:pPr>
    <w:rPr>
      <w:rFonts w:hint="eastAsia" w:ascii="宋体" w:hAnsi="Courier New" w:eastAsia="宋体" w:cs="Times New Roman"/>
      <w:szCs w:val="21"/>
    </w:rPr>
  </w:style>
  <w:style w:type="paragraph" w:styleId="7">
    <w:name w:val="Body Text Indent 2"/>
    <w:basedOn w:val="1"/>
    <w:qFormat/>
    <w:uiPriority w:val="0"/>
    <w:pPr>
      <w:ind w:left="420" w:firstLine="359" w:firstLineChars="171"/>
    </w:pPr>
    <w:rPr>
      <w:sz w:val="24"/>
      <w:szCs w:val="20"/>
    </w:rPr>
  </w:style>
  <w:style w:type="paragraph" w:styleId="8">
    <w:name w:val="Balloon Text"/>
    <w:basedOn w:val="1"/>
    <w:link w:val="32"/>
    <w:qFormat/>
    <w:uiPriority w:val="0"/>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rPr>
      <w:b/>
      <w:bCs/>
      <w:sz w:val="24"/>
    </w:rPr>
  </w:style>
  <w:style w:type="paragraph" w:styleId="12">
    <w:name w:val="Normal (Web)"/>
    <w:basedOn w:val="1"/>
    <w:unhideWhenUsed/>
    <w:qFormat/>
    <w:uiPriority w:val="99"/>
    <w:pPr>
      <w:spacing w:line="360" w:lineRule="auto"/>
      <w:ind w:firstLine="200" w:firstLineChars="200"/>
    </w:pPr>
    <w:rPr>
      <w:rFonts w:ascii="Times New Roman" w:hAnsi="Times New Roman" w:eastAsia="宋体" w:cs="Times New Roman"/>
      <w:sz w:val="24"/>
    </w:rPr>
  </w:style>
  <w:style w:type="paragraph" w:styleId="13">
    <w:name w:val="Body Text First Indent 2"/>
    <w:basedOn w:val="1"/>
    <w:unhideWhenUsed/>
    <w:qFormat/>
    <w:uiPriority w:val="0"/>
    <w:pPr>
      <w:spacing w:line="360" w:lineRule="auto"/>
      <w:ind w:firstLine="420" w:firstLineChars="200"/>
    </w:pPr>
    <w:rPr>
      <w:rFonts w:ascii="Times New Roman" w:hAnsi="Times New Roman" w:eastAsia="宋体" w:cs="Times New Roman"/>
      <w:sz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paragraph" w:customStyle="1" w:styleId="17">
    <w:name w:val="Default"/>
    <w:basedOn w:val="1"/>
    <w:qFormat/>
    <w:uiPriority w:val="0"/>
    <w:pPr>
      <w:autoSpaceDE w:val="0"/>
      <w:autoSpaceDN w:val="0"/>
      <w:adjustRightInd w:val="0"/>
      <w:jc w:val="left"/>
    </w:pPr>
    <w:rPr>
      <w:rFonts w:hint="eastAsia" w:ascii="宋体" w:hAnsi="Calibri" w:eastAsia="宋体" w:cs="Times New Roman"/>
      <w:color w:val="000000"/>
      <w:kern w:val="0"/>
      <w:sz w:val="24"/>
    </w:rPr>
  </w:style>
  <w:style w:type="character" w:customStyle="1" w:styleId="18">
    <w:name w:val="17"/>
    <w:basedOn w:val="16"/>
    <w:qFormat/>
    <w:uiPriority w:val="0"/>
    <w:rPr>
      <w:rFonts w:hint="eastAsia" w:ascii="宋体" w:hAnsi="宋体" w:eastAsia="宋体" w:cs="宋体"/>
      <w:b/>
      <w:color w:val="000000"/>
      <w:sz w:val="20"/>
      <w:szCs w:val="20"/>
    </w:rPr>
  </w:style>
  <w:style w:type="paragraph" w:customStyle="1" w:styleId="19">
    <w:name w:val="1文章"/>
    <w:basedOn w:val="1"/>
    <w:qFormat/>
    <w:uiPriority w:val="0"/>
    <w:pPr>
      <w:snapToGrid w:val="0"/>
      <w:spacing w:line="360" w:lineRule="auto"/>
      <w:ind w:firstLine="573" w:firstLineChars="200"/>
    </w:pPr>
    <w:rPr>
      <w:rFonts w:ascii="Times New Roman" w:hAnsi="Times New Roman" w:eastAsia="仿宋_GB2312" w:cs="Times New Roman"/>
      <w:sz w:val="28"/>
      <w:szCs w:val="28"/>
    </w:rPr>
  </w:style>
  <w:style w:type="paragraph" w:customStyle="1" w:styleId="20">
    <w:name w:val="报告表格"/>
    <w:basedOn w:val="1"/>
    <w:qFormat/>
    <w:uiPriority w:val="0"/>
    <w:pPr>
      <w:autoSpaceDE w:val="0"/>
      <w:autoSpaceDN w:val="0"/>
      <w:adjustRightInd w:val="0"/>
      <w:spacing w:line="280" w:lineRule="exact"/>
      <w:ind w:firstLine="200" w:firstLineChars="200"/>
      <w:jc w:val="center"/>
      <w:textAlignment w:val="bottom"/>
    </w:pPr>
    <w:rPr>
      <w:rFonts w:hint="eastAsia" w:ascii="宋体" w:hAnsi="宋体" w:eastAsia="宋体" w:cs="Times New Roman"/>
      <w:kern w:val="0"/>
      <w:sz w:val="24"/>
    </w:rPr>
  </w:style>
  <w:style w:type="paragraph" w:customStyle="1" w:styleId="21">
    <w:name w:val="小四表文左齐"/>
    <w:basedOn w:val="1"/>
    <w:qFormat/>
    <w:uiPriority w:val="0"/>
    <w:pPr>
      <w:adjustRightInd w:val="0"/>
      <w:snapToGrid w:val="0"/>
      <w:spacing w:line="360" w:lineRule="auto"/>
      <w:ind w:firstLine="200" w:firstLineChars="200"/>
      <w:jc w:val="center"/>
    </w:pPr>
    <w:rPr>
      <w:rFonts w:ascii="仿宋_GB2312" w:hAnsi="Times New Roman" w:eastAsia="仿宋_GB2312" w:cs="Times New Roman"/>
      <w:sz w:val="24"/>
    </w:rPr>
  </w:style>
  <w:style w:type="character" w:customStyle="1" w:styleId="22">
    <w:name w:val="15"/>
    <w:basedOn w:val="16"/>
    <w:qFormat/>
    <w:uiPriority w:val="0"/>
    <w:rPr>
      <w:rFonts w:hint="default" w:ascii="Times New Roman" w:hAnsi="Times New Roman" w:cs="Times New Roman"/>
      <w:sz w:val="21"/>
      <w:szCs w:val="21"/>
    </w:rPr>
  </w:style>
  <w:style w:type="paragraph" w:customStyle="1" w:styleId="23">
    <w:name w:val="表格内容"/>
    <w:basedOn w:val="1"/>
    <w:next w:val="1"/>
    <w:qFormat/>
    <w:uiPriority w:val="0"/>
    <w:pPr>
      <w:jc w:val="center"/>
    </w:pPr>
    <w:rPr>
      <w:rFonts w:ascii="Times New Roman" w:hAnsi="Times New Roman" w:eastAsia="宋体" w:cs="Times New Roman"/>
      <w:szCs w:val="21"/>
    </w:rPr>
  </w:style>
  <w:style w:type="character" w:customStyle="1" w:styleId="24">
    <w:name w:val="10"/>
    <w:basedOn w:val="16"/>
    <w:qFormat/>
    <w:uiPriority w:val="0"/>
    <w:rPr>
      <w:rFonts w:hint="default" w:ascii="Times New Roman" w:hAnsi="Times New Roman" w:cs="Times New Roman"/>
    </w:rPr>
  </w:style>
  <w:style w:type="character" w:customStyle="1" w:styleId="25">
    <w:name w:val="16"/>
    <w:basedOn w:val="16"/>
    <w:qFormat/>
    <w:uiPriority w:val="0"/>
    <w:rPr>
      <w:rFonts w:hint="default" w:ascii="Times New Roman" w:hAnsi="Times New Roman" w:cs="Times New Roman"/>
      <w:color w:val="000000"/>
      <w:sz w:val="21"/>
      <w:szCs w:val="21"/>
      <w:vertAlign w:val="superscript"/>
    </w:rPr>
  </w:style>
  <w:style w:type="paragraph" w:customStyle="1" w:styleId="26">
    <w:name w:val="表格标题"/>
    <w:basedOn w:val="1"/>
    <w:qFormat/>
    <w:uiPriority w:val="0"/>
    <w:pPr>
      <w:spacing w:line="360" w:lineRule="auto"/>
      <w:jc w:val="center"/>
    </w:pPr>
    <w:rPr>
      <w:rFonts w:ascii="Times New Roman" w:hAnsi="Times New Roman" w:eastAsia="宋体" w:cs="Times New Roman"/>
      <w:b/>
      <w:sz w:val="24"/>
    </w:rPr>
  </w:style>
  <w:style w:type="paragraph" w:customStyle="1" w:styleId="27">
    <w:name w:val="无间隔1"/>
    <w:basedOn w:val="1"/>
    <w:qFormat/>
    <w:uiPriority w:val="0"/>
    <w:rPr>
      <w:rFonts w:ascii="Calibri" w:hAnsi="Calibri" w:eastAsia="宋体" w:cs="Times New Roman"/>
      <w:szCs w:val="21"/>
    </w:rPr>
  </w:style>
  <w:style w:type="paragraph" w:customStyle="1" w:styleId="28">
    <w:name w:val="表格"/>
    <w:basedOn w:val="1"/>
    <w:qFormat/>
    <w:uiPriority w:val="0"/>
    <w:pPr>
      <w:spacing w:line="360" w:lineRule="auto"/>
      <w:ind w:firstLine="200" w:firstLineChars="200"/>
      <w:jc w:val="center"/>
    </w:pPr>
    <w:rPr>
      <w:rFonts w:ascii="Times New Roman" w:hAnsi="Times New Roman" w:eastAsia="宋体" w:cs="Times New Roman"/>
      <w:sz w:val="24"/>
    </w:rPr>
  </w:style>
  <w:style w:type="paragraph" w:customStyle="1" w:styleId="29">
    <w:name w:val="4S"/>
    <w:basedOn w:val="1"/>
    <w:qFormat/>
    <w:uiPriority w:val="0"/>
    <w:pPr>
      <w:spacing w:line="360" w:lineRule="auto"/>
      <w:ind w:firstLine="480" w:firstLineChars="200"/>
    </w:pPr>
    <w:rPr>
      <w:rFonts w:hint="eastAsia" w:ascii="楷体" w:hAnsi="楷体" w:eastAsia="楷体" w:cs="Times New Roman"/>
      <w:sz w:val="24"/>
    </w:rPr>
  </w:style>
  <w:style w:type="character" w:customStyle="1" w:styleId="30">
    <w:name w:val="页眉 Char"/>
    <w:basedOn w:val="16"/>
    <w:link w:val="10"/>
    <w:qFormat/>
    <w:uiPriority w:val="99"/>
    <w:rPr>
      <w:rFonts w:asciiTheme="minorHAnsi" w:hAnsiTheme="minorHAnsi" w:eastAsiaTheme="minorEastAsia" w:cstheme="minorBidi"/>
      <w:kern w:val="2"/>
      <w:sz w:val="18"/>
      <w:szCs w:val="18"/>
    </w:rPr>
  </w:style>
  <w:style w:type="character" w:customStyle="1" w:styleId="31">
    <w:name w:val="页脚 Char"/>
    <w:basedOn w:val="16"/>
    <w:link w:val="9"/>
    <w:qFormat/>
    <w:uiPriority w:val="99"/>
    <w:rPr>
      <w:rFonts w:asciiTheme="minorHAnsi" w:hAnsiTheme="minorHAnsi" w:eastAsiaTheme="minorEastAsia" w:cstheme="minorBidi"/>
      <w:kern w:val="2"/>
      <w:sz w:val="18"/>
      <w:szCs w:val="18"/>
    </w:rPr>
  </w:style>
  <w:style w:type="character" w:customStyle="1" w:styleId="32">
    <w:name w:val="批注框文本 Char"/>
    <w:basedOn w:val="16"/>
    <w:link w:val="8"/>
    <w:qFormat/>
    <w:uiPriority w:val="0"/>
    <w:rPr>
      <w:rFonts w:asciiTheme="minorHAnsi" w:hAnsiTheme="minorHAnsi" w:eastAsiaTheme="minorEastAsia" w:cstheme="minorBidi"/>
      <w:kern w:val="2"/>
      <w:sz w:val="18"/>
      <w:szCs w:val="18"/>
    </w:rPr>
  </w:style>
  <w:style w:type="paragraph" w:customStyle="1" w:styleId="33">
    <w:name w:val="样式 样式 样式 自动设置 + 五号 段前: 0.5 行 行距: 单倍行距 + 段前: 0.5 行"/>
    <w:basedOn w:val="1"/>
    <w:qFormat/>
    <w:uiPriority w:val="0"/>
    <w:pPr>
      <w:autoSpaceDE w:val="0"/>
      <w:autoSpaceDN w:val="0"/>
      <w:adjustRightInd w:val="0"/>
      <w:snapToGrid w:val="0"/>
    </w:pPr>
    <w:rPr>
      <w:rFonts w:cs="宋体"/>
      <w:szCs w:val="20"/>
    </w:rPr>
  </w:style>
  <w:style w:type="paragraph" w:customStyle="1" w:styleId="34">
    <w:name w:val="样式 自动设置"/>
    <w:basedOn w:val="1"/>
    <w:qFormat/>
    <w:uiPriority w:val="0"/>
    <w:pPr>
      <w:autoSpaceDE w:val="0"/>
      <w:autoSpaceDN w:val="0"/>
      <w:adjustRightInd w:val="0"/>
      <w:snapToGrid w:val="0"/>
      <w:spacing w:beforeLines="50" w:line="288" w:lineRule="auto"/>
      <w:ind w:firstLine="200" w:firstLineChars="200"/>
    </w:pPr>
    <w:rPr>
      <w:sz w:val="24"/>
    </w:rPr>
  </w:style>
  <w:style w:type="character" w:customStyle="1" w:styleId="35">
    <w:name w:val="font11"/>
    <w:basedOn w:val="16"/>
    <w:qFormat/>
    <w:uiPriority w:val="0"/>
    <w:rPr>
      <w:rFonts w:hint="eastAsia" w:ascii="宋体" w:hAnsi="宋体" w:eastAsia="宋体" w:cs="宋体"/>
      <w:color w:val="000000"/>
      <w:sz w:val="21"/>
      <w:szCs w:val="21"/>
      <w:u w:val="none"/>
    </w:rPr>
  </w:style>
  <w:style w:type="character" w:customStyle="1" w:styleId="36">
    <w:name w:val="font21"/>
    <w:basedOn w:val="16"/>
    <w:qFormat/>
    <w:uiPriority w:val="0"/>
    <w:rPr>
      <w:rFonts w:hint="default" w:ascii="Times New Roman" w:hAnsi="Times New Roman" w:cs="Times New Roman"/>
      <w:color w:val="000000"/>
      <w:sz w:val="21"/>
      <w:szCs w:val="21"/>
      <w:u w:val="none"/>
    </w:rPr>
  </w:style>
  <w:style w:type="character" w:customStyle="1" w:styleId="37">
    <w:name w:val="font31"/>
    <w:qFormat/>
    <w:uiPriority w:val="0"/>
    <w:rPr>
      <w:rFonts w:hint="default" w:ascii="Times New Roman" w:hAnsi="Times New Roman" w:cs="Times New Roman"/>
      <w:color w:val="000000"/>
      <w:sz w:val="21"/>
      <w:szCs w:val="21"/>
      <w:u w:val="none"/>
      <w:vertAlign w:val="superscript"/>
    </w:rPr>
  </w:style>
  <w:style w:type="character" w:customStyle="1" w:styleId="38">
    <w:name w:val="font81"/>
    <w:qFormat/>
    <w:uiPriority w:val="0"/>
    <w:rPr>
      <w:rFonts w:hint="default" w:ascii="Times New Roman" w:hAnsi="Times New Roman" w:cs="Times New Roman"/>
      <w:color w:val="000000"/>
      <w:sz w:val="21"/>
      <w:szCs w:val="21"/>
      <w:u w:val="none"/>
    </w:rPr>
  </w:style>
  <w:style w:type="character" w:customStyle="1" w:styleId="39">
    <w:name w:val="font51"/>
    <w:qFormat/>
    <w:uiPriority w:val="0"/>
    <w:rPr>
      <w:rFonts w:hint="default" w:ascii="Times New Roman" w:hAnsi="Times New Roman" w:cs="Times New Roman"/>
      <w:b/>
      <w:color w:val="000000"/>
      <w:sz w:val="20"/>
      <w:szCs w:val="20"/>
      <w:u w:val="none"/>
    </w:rPr>
  </w:style>
  <w:style w:type="character" w:customStyle="1" w:styleId="40">
    <w:name w:val="font41"/>
    <w:qFormat/>
    <w:uiPriority w:val="0"/>
    <w:rPr>
      <w:rFonts w:hint="eastAsia" w:ascii="宋体" w:hAnsi="宋体" w:eastAsia="宋体" w:cs="宋体"/>
      <w:b/>
      <w:color w:val="000000"/>
      <w:sz w:val="20"/>
      <w:szCs w:val="20"/>
      <w:u w:val="none"/>
    </w:rPr>
  </w:style>
  <w:style w:type="character" w:customStyle="1" w:styleId="41">
    <w:name w:val="font61"/>
    <w:qFormat/>
    <w:uiPriority w:val="0"/>
    <w:rPr>
      <w:rFonts w:hint="default" w:ascii="Times New Roman" w:hAnsi="Times New Roman" w:cs="Times New Roman"/>
      <w:color w:val="000000"/>
      <w:sz w:val="24"/>
      <w:szCs w:val="24"/>
      <w:u w:val="none"/>
    </w:rPr>
  </w:style>
  <w:style w:type="character" w:customStyle="1" w:styleId="42">
    <w:name w:val="font01"/>
    <w:basedOn w:val="16"/>
    <w:qFormat/>
    <w:uiPriority w:val="0"/>
    <w:rPr>
      <w:rFonts w:hint="default" w:ascii="Times New Roman" w:hAnsi="Times New Roman" w:cs="Times New Roman"/>
      <w:color w:val="000000"/>
      <w:sz w:val="24"/>
      <w:szCs w:val="24"/>
      <w:u w:val="none"/>
    </w:rPr>
  </w:style>
  <w:style w:type="paragraph" w:customStyle="1" w:styleId="43">
    <w:name w:val="表格文字"/>
    <w:basedOn w:val="1"/>
    <w:qFormat/>
    <w:uiPriority w:val="0"/>
    <w:pPr>
      <w:tabs>
        <w:tab w:val="center" w:pos="4153"/>
        <w:tab w:val="right" w:pos="8306"/>
      </w:tabs>
      <w:adjustRightInd w:val="0"/>
      <w:snapToGrid w:val="0"/>
      <w:jc w:val="center"/>
    </w:pPr>
    <w:rPr>
      <w:rFonts w:eastAsia="仿宋_GB2312"/>
      <w:szCs w:val="21"/>
    </w:rPr>
  </w:style>
  <w:style w:type="paragraph" w:customStyle="1" w:styleId="44">
    <w:name w:val="正文1"/>
    <w:basedOn w:val="1"/>
    <w:qFormat/>
    <w:uiPriority w:val="0"/>
    <w:rPr>
      <w:rFonts w:ascii="Calibri" w:hAnsi="Calibri" w:cs="Calibri"/>
    </w:rPr>
  </w:style>
  <w:style w:type="paragraph" w:customStyle="1" w:styleId="45">
    <w:name w:val="List Paragraph"/>
    <w:basedOn w:val="1"/>
    <w:qFormat/>
    <w:uiPriority w:val="99"/>
    <w:pPr>
      <w:ind w:firstLine="420" w:firstLineChars="200"/>
    </w:pPr>
  </w:style>
  <w:style w:type="paragraph" w:customStyle="1" w:styleId="46">
    <w:name w:val="表1"/>
    <w:basedOn w:val="1"/>
    <w:qFormat/>
    <w:uiPriority w:val="0"/>
    <w:pPr>
      <w:spacing w:line="240" w:lineRule="atLeast"/>
      <w:jc w:val="center"/>
    </w:pPr>
    <w:rPr>
      <w:rFonts w:ascii="Calibri" w:hAnsi="Calibri"/>
      <w:color w:val="000000"/>
      <w:szCs w:val="21"/>
    </w:rPr>
  </w:style>
  <w:style w:type="paragraph" w:customStyle="1" w:styleId="47">
    <w:name w:val="Body Text Indent"/>
    <w:basedOn w:val="1"/>
    <w:qFormat/>
    <w:uiPriority w:val="0"/>
    <w:pPr>
      <w:adjustRightInd w:val="0"/>
      <w:spacing w:after="120" w:line="360" w:lineRule="auto"/>
      <w:ind w:left="420" w:leftChars="200" w:firstLine="200" w:firstLineChars="200"/>
      <w:textAlignment w:val="baseline"/>
    </w:pPr>
    <w:rPr>
      <w:sz w:val="24"/>
    </w:rPr>
  </w:style>
  <w:style w:type="character" w:customStyle="1" w:styleId="48">
    <w:name w:val="font71"/>
    <w:basedOn w:val="16"/>
    <w:qFormat/>
    <w:uiPriority w:val="0"/>
    <w:rPr>
      <w:rFonts w:hint="eastAsia" w:ascii="宋体" w:hAnsi="宋体" w:eastAsia="宋体" w:cs="宋体"/>
      <w:color w:val="000000"/>
      <w:sz w:val="21"/>
      <w:szCs w:val="21"/>
      <w:u w:val="none"/>
      <w:vertAlign w:val="superscript"/>
    </w:rPr>
  </w:style>
  <w:style w:type="paragraph" w:customStyle="1" w:styleId="49">
    <w:name w:val="xl27"/>
    <w:basedOn w:val="1"/>
    <w:qFormat/>
    <w:uiPriority w:val="0"/>
    <w:pPr>
      <w:widowControl/>
      <w:pBdr>
        <w:bottom w:val="single" w:color="auto" w:sz="12" w:space="0"/>
      </w:pBdr>
      <w:spacing w:before="100" w:after="100"/>
      <w:jc w:val="center"/>
    </w:pPr>
    <w:rPr>
      <w:rFonts w:ascii="宋体" w:hAns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0.wmf"/><Relationship Id="rId21" Type="http://schemas.openxmlformats.org/officeDocument/2006/relationships/oleObject" Target="embeddings/oleObject8.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8.wmf"/><Relationship Id="rId17" Type="http://schemas.openxmlformats.org/officeDocument/2006/relationships/oleObject" Target="embeddings/oleObject6.bin"/><Relationship Id="rId16" Type="http://schemas.openxmlformats.org/officeDocument/2006/relationships/image" Target="media/image7.wmf"/><Relationship Id="rId15" Type="http://schemas.openxmlformats.org/officeDocument/2006/relationships/oleObject" Target="embeddings/oleObject5.bin"/><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58288</Words>
  <Characters>72953</Characters>
  <Lines>208</Lines>
  <Paragraphs>58</Paragraphs>
  <TotalTime>2</TotalTime>
  <ScaleCrop>false</ScaleCrop>
  <LinksUpToDate>false</LinksUpToDate>
  <CharactersWithSpaces>73873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2018-12-20T02:33:00Z</dcterms:created>
  <dc:creator>asus</dc:creator>
  <cp:lastModifiedBy>河里的青蛙~~</cp:lastModifiedBy>
  <cp:lastPrinted>2019-04-22T02:57:00Z</cp:lastPrinted>
  <dcterms:modified xsi:type="dcterms:W3CDTF">2019-06-17T07:19:36Z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